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C4" w:rsidRDefault="004F2BC4" w:rsidP="000B6451">
      <w:pPr>
        <w:rPr>
          <w:b/>
          <w:i/>
          <w:sz w:val="28"/>
          <w:szCs w:val="28"/>
          <w:u w:val="single"/>
        </w:rPr>
      </w:pPr>
    </w:p>
    <w:p w:rsidR="000B6451" w:rsidRDefault="000B6451" w:rsidP="000B6451">
      <w:pPr>
        <w:rPr>
          <w:b/>
          <w:i/>
          <w:sz w:val="28"/>
          <w:szCs w:val="28"/>
          <w:u w:val="single"/>
        </w:rPr>
      </w:pPr>
    </w:p>
    <w:p w:rsidR="000B6451" w:rsidRDefault="000B6451" w:rsidP="000B6451">
      <w:pPr>
        <w:rPr>
          <w:b/>
          <w:i/>
          <w:sz w:val="28"/>
          <w:szCs w:val="28"/>
          <w:u w:val="single"/>
        </w:rPr>
      </w:pPr>
    </w:p>
    <w:p w:rsidR="001F0FA6" w:rsidRDefault="004F2BC4" w:rsidP="004F2BC4">
      <w:pPr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Inspección General de Justicia. Resolución </w:t>
      </w:r>
      <w:r w:rsidR="000B6451">
        <w:rPr>
          <w:b/>
          <w:i/>
          <w:sz w:val="28"/>
          <w:szCs w:val="28"/>
          <w:u w:val="single"/>
        </w:rPr>
        <w:t>General 15</w:t>
      </w:r>
      <w:r>
        <w:rPr>
          <w:b/>
          <w:i/>
          <w:sz w:val="28"/>
          <w:szCs w:val="28"/>
          <w:u w:val="single"/>
        </w:rPr>
        <w:t>/2024. Inscripción de poderes otorgados a agentes institorios por las entidades aseguradoras.</w:t>
      </w:r>
    </w:p>
    <w:p w:rsidR="004F2BC4" w:rsidRDefault="004F2BC4" w:rsidP="004F2BC4">
      <w:pPr>
        <w:jc w:val="right"/>
        <w:rPr>
          <w:b/>
          <w:i/>
          <w:sz w:val="28"/>
          <w:szCs w:val="28"/>
          <w:u w:val="single"/>
        </w:rPr>
      </w:pPr>
    </w:p>
    <w:p w:rsidR="000B6451" w:rsidRDefault="000B6451" w:rsidP="004F2BC4">
      <w:pPr>
        <w:jc w:val="right"/>
        <w:rPr>
          <w:b/>
          <w:i/>
          <w:sz w:val="28"/>
          <w:szCs w:val="28"/>
          <w:u w:val="single"/>
        </w:rPr>
      </w:pPr>
    </w:p>
    <w:p w:rsidR="004F2BC4" w:rsidRPr="00BA66A1" w:rsidRDefault="00A51A62" w:rsidP="00BA66A1">
      <w:pPr>
        <w:jc w:val="both"/>
        <w:rPr>
          <w:b/>
          <w:sz w:val="28"/>
          <w:szCs w:val="28"/>
        </w:rPr>
      </w:pPr>
      <w:r w:rsidRPr="00BA66A1">
        <w:rPr>
          <w:b/>
          <w:sz w:val="28"/>
          <w:szCs w:val="28"/>
        </w:rPr>
        <w:t xml:space="preserve">La Ley 17.418 de Contrato de </w:t>
      </w:r>
      <w:r w:rsidR="00F72842" w:rsidRPr="00BA66A1">
        <w:rPr>
          <w:b/>
          <w:sz w:val="28"/>
          <w:szCs w:val="28"/>
        </w:rPr>
        <w:t>Seguros, en</w:t>
      </w:r>
      <w:r w:rsidR="000A1DEB">
        <w:rPr>
          <w:b/>
          <w:sz w:val="28"/>
          <w:szCs w:val="28"/>
        </w:rPr>
        <w:t xml:space="preserve"> su Artículo 54, dispone</w:t>
      </w:r>
      <w:r w:rsidR="007B01CC" w:rsidRPr="00BA66A1">
        <w:rPr>
          <w:b/>
          <w:sz w:val="28"/>
          <w:szCs w:val="28"/>
        </w:rPr>
        <w:t xml:space="preserve"> </w:t>
      </w:r>
      <w:r w:rsidRPr="00BA66A1">
        <w:rPr>
          <w:b/>
          <w:sz w:val="28"/>
          <w:szCs w:val="28"/>
        </w:rPr>
        <w:t xml:space="preserve">que </w:t>
      </w:r>
      <w:r w:rsidRPr="00BA66A1">
        <w:rPr>
          <w:b/>
          <w:i/>
          <w:sz w:val="28"/>
          <w:szCs w:val="28"/>
        </w:rPr>
        <w:t xml:space="preserve">“Cuando el asegurador designa un representante o agente con facultades para actuar en su nombre se aplican las reglas del mandato…” </w:t>
      </w:r>
      <w:r w:rsidR="00C0319A" w:rsidRPr="00BA66A1">
        <w:rPr>
          <w:b/>
          <w:sz w:val="28"/>
          <w:szCs w:val="28"/>
        </w:rPr>
        <w:t xml:space="preserve"> definió</w:t>
      </w:r>
      <w:r w:rsidRPr="00BA66A1">
        <w:rPr>
          <w:b/>
          <w:sz w:val="28"/>
          <w:szCs w:val="28"/>
        </w:rPr>
        <w:t xml:space="preserve"> algunas características adicion</w:t>
      </w:r>
      <w:r w:rsidR="007B01CC" w:rsidRPr="00BA66A1">
        <w:rPr>
          <w:b/>
          <w:sz w:val="28"/>
          <w:szCs w:val="28"/>
        </w:rPr>
        <w:t xml:space="preserve">ales y denominó a estos representantes </w:t>
      </w:r>
      <w:r w:rsidRPr="00BA66A1">
        <w:rPr>
          <w:b/>
          <w:sz w:val="28"/>
          <w:szCs w:val="28"/>
        </w:rPr>
        <w:t>como “</w:t>
      </w:r>
      <w:r w:rsidRPr="00BA66A1">
        <w:rPr>
          <w:b/>
          <w:i/>
          <w:sz w:val="28"/>
          <w:szCs w:val="28"/>
        </w:rPr>
        <w:t>Agentes Institorios</w:t>
      </w:r>
      <w:r w:rsidRPr="00BA66A1">
        <w:rPr>
          <w:b/>
          <w:sz w:val="28"/>
          <w:szCs w:val="28"/>
        </w:rPr>
        <w:t>”.</w:t>
      </w:r>
    </w:p>
    <w:p w:rsidR="00BE0EFD" w:rsidRPr="000A1DEB" w:rsidRDefault="00A51A62" w:rsidP="000A1DEB">
      <w:pPr>
        <w:jc w:val="both"/>
        <w:rPr>
          <w:b/>
          <w:sz w:val="28"/>
          <w:szCs w:val="28"/>
        </w:rPr>
      </w:pPr>
      <w:r w:rsidRPr="00BA66A1">
        <w:rPr>
          <w:b/>
          <w:sz w:val="28"/>
          <w:szCs w:val="28"/>
        </w:rPr>
        <w:t xml:space="preserve">Durante muchos años bajo esta denominación actuaron personas </w:t>
      </w:r>
      <w:r w:rsidR="007B01CC" w:rsidRPr="00BA66A1">
        <w:rPr>
          <w:b/>
          <w:sz w:val="28"/>
          <w:szCs w:val="28"/>
        </w:rPr>
        <w:t xml:space="preserve">humanas </w:t>
      </w:r>
      <w:r w:rsidR="000B6451">
        <w:rPr>
          <w:b/>
          <w:sz w:val="28"/>
          <w:szCs w:val="28"/>
        </w:rPr>
        <w:t>con facultades poco precisas otorgadas por aseguradoras locales</w:t>
      </w:r>
      <w:r w:rsidR="00447432">
        <w:rPr>
          <w:b/>
          <w:sz w:val="28"/>
          <w:szCs w:val="28"/>
        </w:rPr>
        <w:t>, entre ellas alguna</w:t>
      </w:r>
      <w:r w:rsidR="000A1DEB">
        <w:rPr>
          <w:b/>
          <w:sz w:val="28"/>
          <w:szCs w:val="28"/>
        </w:rPr>
        <w:t xml:space="preserve"> de cará</w:t>
      </w:r>
      <w:r w:rsidR="000B6451">
        <w:rPr>
          <w:b/>
          <w:sz w:val="28"/>
          <w:szCs w:val="28"/>
        </w:rPr>
        <w:t>cter oficial.</w:t>
      </w:r>
    </w:p>
    <w:p w:rsidR="00F72842" w:rsidRPr="000A1DEB" w:rsidRDefault="00BE0EFD" w:rsidP="000A1DEB">
      <w:pPr>
        <w:jc w:val="both"/>
        <w:rPr>
          <w:b/>
          <w:sz w:val="28"/>
          <w:szCs w:val="28"/>
        </w:rPr>
      </w:pPr>
      <w:r w:rsidRPr="00BA66A1">
        <w:rPr>
          <w:b/>
          <w:sz w:val="28"/>
          <w:szCs w:val="28"/>
        </w:rPr>
        <w:t>Con posterioridad la Ley 22.400 creó la figura del Productor Asesor de Seguros, facultando a las personas que, cumpliendo una serie de requisitos, entre ellos un examen de competencia, estaban facultados para actuar como int</w:t>
      </w:r>
      <w:r w:rsidR="000B6451">
        <w:rPr>
          <w:b/>
          <w:sz w:val="28"/>
          <w:szCs w:val="28"/>
        </w:rPr>
        <w:t>ermediarios en la suscripción de cobertura</w:t>
      </w:r>
      <w:r w:rsidRPr="00BA66A1">
        <w:rPr>
          <w:b/>
          <w:sz w:val="28"/>
          <w:szCs w:val="28"/>
        </w:rPr>
        <w:t xml:space="preserve"> de seguros.</w:t>
      </w:r>
    </w:p>
    <w:p w:rsidR="00707548" w:rsidRDefault="00BE0EFD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  <w:r>
        <w:rPr>
          <w:b/>
          <w:sz w:val="28"/>
          <w:szCs w:val="28"/>
        </w:rPr>
        <w:t>Con el propósito de regul</w:t>
      </w:r>
      <w:r w:rsidR="000A1DEB">
        <w:rPr>
          <w:b/>
          <w:sz w:val="28"/>
          <w:szCs w:val="28"/>
        </w:rPr>
        <w:t>arizar esta situació</w:t>
      </w:r>
      <w:r w:rsidR="007B01CC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, la Superintendencia de Seguros, sancionó la Resolución 38.052</w:t>
      </w:r>
      <w:r w:rsidR="00F72842">
        <w:rPr>
          <w:b/>
          <w:sz w:val="28"/>
          <w:szCs w:val="28"/>
        </w:rPr>
        <w:t xml:space="preserve"> en el año 2013</w:t>
      </w:r>
      <w:r>
        <w:rPr>
          <w:b/>
          <w:sz w:val="28"/>
          <w:szCs w:val="28"/>
        </w:rPr>
        <w:t xml:space="preserve"> por la</w:t>
      </w:r>
      <w:r w:rsidR="00F72842">
        <w:rPr>
          <w:b/>
          <w:sz w:val="28"/>
          <w:szCs w:val="28"/>
        </w:rPr>
        <w:t xml:space="preserve"> cual</w:t>
      </w:r>
      <w:r>
        <w:rPr>
          <w:b/>
          <w:sz w:val="28"/>
          <w:szCs w:val="28"/>
        </w:rPr>
        <w:t xml:space="preserve"> reglamentó la actuación de los agentes institorios</w:t>
      </w:r>
      <w:r w:rsidR="00F72842">
        <w:rPr>
          <w:b/>
          <w:sz w:val="28"/>
          <w:szCs w:val="28"/>
        </w:rPr>
        <w:t>, que en principio solo podía ser ejercida por personas jurídicas que deb</w:t>
      </w:r>
      <w:r w:rsidR="00707548">
        <w:rPr>
          <w:b/>
          <w:sz w:val="28"/>
          <w:szCs w:val="28"/>
        </w:rPr>
        <w:t>ían ser designados por un</w:t>
      </w:r>
      <w:r w:rsidR="00F72842">
        <w:rPr>
          <w:b/>
          <w:sz w:val="28"/>
          <w:szCs w:val="28"/>
        </w:rPr>
        <w:t xml:space="preserve"> mandato otorgado por una </w:t>
      </w:r>
      <w:r w:rsidR="00707548">
        <w:rPr>
          <w:b/>
          <w:sz w:val="28"/>
          <w:szCs w:val="28"/>
        </w:rPr>
        <w:t xml:space="preserve">entidad aseguradora. El citado </w:t>
      </w:r>
      <w:r w:rsidR="00C0319A">
        <w:rPr>
          <w:b/>
          <w:sz w:val="28"/>
          <w:szCs w:val="28"/>
        </w:rPr>
        <w:t xml:space="preserve">mandato, rezaba la resolución aludida </w:t>
      </w:r>
      <w:r w:rsidR="00707548">
        <w:rPr>
          <w:b/>
          <w:sz w:val="28"/>
          <w:szCs w:val="28"/>
        </w:rPr>
        <w:t>“</w:t>
      </w:r>
      <w:r w:rsidR="00707548" w:rsidRPr="00707548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>deberá inscribirse en el Registro Público de Comercio de la jurisdicción competente.</w:t>
      </w:r>
      <w:r w:rsidR="00707548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>”,</w:t>
      </w:r>
      <w:r w:rsidR="00C0319A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</w:t>
      </w:r>
    </w:p>
    <w:p w:rsidR="00707548" w:rsidRDefault="00707548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A103E9" w:rsidRDefault="00A103E9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A103E9" w:rsidRDefault="00A103E9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0B6451" w:rsidRDefault="000A1DEB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En el caso que las aquellas</w:t>
      </w:r>
      <w:r w:rsidR="00707548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personas a las que le fue otorgado el citado mandato Institorio eran entidades organizadas bajo la forma jurídica de sociedades</w:t>
      </w:r>
      <w:r w:rsidR="003262EF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mutuales </w:t>
      </w:r>
      <w:r w:rsidR="00C0319A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o cooperativas</w:t>
      </w:r>
      <w:r w:rsidR="00D72576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con</w:t>
      </w:r>
      <w:r w:rsidR="00707548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domicilio en la Ciudad Autónoma de Buenos Aires, la inscripción d</w:t>
      </w:r>
      <w:r w:rsidR="003262EF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el mandato no pudo ser </w:t>
      </w:r>
      <w:r w:rsidR="00C0319A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efectivizada por</w:t>
      </w:r>
      <w:r w:rsidR="00707548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</w:t>
      </w:r>
    </w:p>
    <w:p w:rsidR="00707548" w:rsidRDefault="00707548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carecer </w:t>
      </w:r>
      <w:r w:rsidR="00D72576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la Inspección de Pe</w:t>
      </w:r>
      <w:r w:rsidR="00447432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rsonas jurídicas de competencia</w:t>
      </w:r>
      <w:bookmarkStart w:id="0" w:name="_GoBack"/>
      <w:bookmarkEnd w:id="0"/>
      <w:r w:rsidR="00D72576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sobre las</w:t>
      </w:r>
      <w:r w:rsidR="007B01CC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mismas y tampoco</w:t>
      </w:r>
      <w:r w:rsidR="003262EF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tener habilitado un registro al respecto.</w:t>
      </w:r>
    </w:p>
    <w:p w:rsidR="003262EF" w:rsidRDefault="003262EF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E86083" w:rsidRDefault="007B01CC" w:rsidP="00E64F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Recientemente, la</w:t>
      </w:r>
      <w:r w:rsidR="00E64FAF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Inspección de Personas Jurídicas por </w:t>
      </w:r>
      <w:r w:rsidR="003262EF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Resolución 15</w:t>
      </w:r>
      <w:r w:rsidR="00E64FAF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/2024 de fecha 16 de julio del corriente año, en su artículo 264, se da s</w:t>
      </w:r>
      <w:r w:rsidR="00E86083"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olución al tema al disponer que,</w:t>
      </w:r>
    </w:p>
    <w:p w:rsidR="00E86083" w:rsidRDefault="00E86083" w:rsidP="00E64F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E64FAF" w:rsidRDefault="00E64FAF" w:rsidP="00E64F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>“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>A los fines de la inscripción de los poderes otorgados a los agentes institorios regulados por el artículo 54 de la Ley de Seguros N° 17.418, deberá presentarse:</w:t>
      </w:r>
    </w:p>
    <w:p w:rsidR="00E64FAF" w:rsidRDefault="00E64FAF" w:rsidP="00E64F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</w:pPr>
    </w:p>
    <w:p w:rsidR="00E64FAF" w:rsidRPr="00E64FAF" w:rsidRDefault="007B01CC" w:rsidP="00E64F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</w:pP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>- “</w:t>
      </w:r>
      <w:r w:rsidR="00E64FAF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 xml:space="preserve">Nota del agente Institorio solicitando su registración ante el </w:t>
      </w:r>
      <w:r w:rsidR="00C0319A"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>Registro Público</w:t>
      </w:r>
      <w:r>
        <w:rPr>
          <w:rFonts w:ascii="Tahoma" w:eastAsia="Times New Roman" w:hAnsi="Tahoma" w:cs="Tahoma"/>
          <w:b/>
          <w:i/>
          <w:iCs/>
          <w:color w:val="000000"/>
          <w:sz w:val="24"/>
          <w:szCs w:val="24"/>
          <w:lang w:eastAsia="es-AR"/>
        </w:rPr>
        <w:t>.”</w:t>
      </w:r>
    </w:p>
    <w:p w:rsidR="00E64FAF" w:rsidRDefault="00E64FAF" w:rsidP="00E64FA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E56AE0" w:rsidRDefault="00E64FAF" w:rsidP="00E64F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</w:pPr>
      <w:r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  <w:t xml:space="preserve">  “</w:t>
      </w:r>
      <w:r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A los fines de la inscripción de los poderes otorgados a los agentes institorios regulados por el artículo 54 de la Ley de Seguros N° 17.418</w:t>
      </w:r>
      <w:r w:rsidR="007B01CC"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,</w:t>
      </w:r>
      <w:r w:rsidR="007B01CC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 xml:space="preserve"> </w:t>
      </w:r>
      <w:r w:rsidR="007B01CC"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deberá</w:t>
      </w:r>
      <w:r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 xml:space="preserve"> presentarse:</w:t>
      </w:r>
      <w:r w:rsidR="007B01CC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”</w:t>
      </w:r>
    </w:p>
    <w:p w:rsidR="00E64FAF" w:rsidRDefault="00E64FAF" w:rsidP="00E64F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</w:pPr>
      <w:r w:rsidRPr="00E64FAF">
        <w:rPr>
          <w:rFonts w:eastAsia="Times New Roman" w:cstheme="minorHAnsi"/>
          <w:b/>
          <w:color w:val="000000"/>
          <w:sz w:val="28"/>
          <w:szCs w:val="28"/>
          <w:lang w:eastAsia="es-AR"/>
        </w:rPr>
        <w:br/>
      </w:r>
      <w:r w:rsidR="00E56AE0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“</w:t>
      </w:r>
      <w:r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 xml:space="preserve">- Nota del agente </w:t>
      </w:r>
      <w:r w:rsidR="00227948"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Institorio</w:t>
      </w:r>
      <w:r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 xml:space="preserve"> solicitando su registración ante el Registro Público, incluyéndose, según el caso, nombre y apellido o denominación social, documento de identidad o datos de inscripción registral y domicilio o sede social.</w:t>
      </w:r>
    </w:p>
    <w:p w:rsidR="00E86083" w:rsidRPr="00E64FAF" w:rsidRDefault="00E86083" w:rsidP="00E64FA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es-AR"/>
        </w:rPr>
      </w:pPr>
    </w:p>
    <w:p w:rsidR="00227948" w:rsidRDefault="00E56AE0" w:rsidP="00E56A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</w:pPr>
      <w:r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“</w:t>
      </w:r>
      <w:r w:rsidR="00E64FAF" w:rsidRPr="00E64FAF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- Instrumento mediante el cual se otorga el poder; y Resolución o acto administrativo emitido en forma previa por la Superintendencia de Seguros de la Nación, mediante el cual el solicitante fue autorizado para actuar como agente Institorio</w:t>
      </w:r>
      <w:r w:rsidR="00227948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, cumpliendo en dicho organismo con los requisitos establecidos en la Resolución S.S.N. N° 38.052/2013 o la que en el futuro la reemplace o sustituya.</w:t>
      </w:r>
      <w:r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>”</w:t>
      </w:r>
    </w:p>
    <w:p w:rsidR="00E56AE0" w:rsidRDefault="00E56AE0" w:rsidP="00E56A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Default="00E56AE0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/>
          <w:sz w:val="28"/>
          <w:szCs w:val="28"/>
          <w:lang w:eastAsia="es-AR"/>
        </w:rPr>
      </w:pPr>
      <w:r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lastRenderedPageBreak/>
        <w:t>“</w:t>
      </w:r>
      <w:r w:rsidR="00227948"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 xml:space="preserve">En caso de tratarse de personas jurídicas que no se encuentren bajo jurisdicción de este Organismo deberán acreditar su existencia e inscripción, la personería y facultades de quien la represente en el acto de constitución, indicado además </w:t>
      </w:r>
      <w:r>
        <w:rPr>
          <w:rFonts w:eastAsia="Times New Roman" w:cstheme="minorHAnsi"/>
          <w:b/>
          <w:i/>
          <w:iCs/>
          <w:color w:val="000000"/>
          <w:sz w:val="28"/>
          <w:szCs w:val="28"/>
          <w:lang w:eastAsia="es-AR"/>
        </w:rPr>
        <w:t xml:space="preserve">su sede social.” </w:t>
      </w:r>
    </w:p>
    <w:p w:rsidR="00E56AE0" w:rsidRDefault="00E56AE0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000000"/>
          <w:sz w:val="28"/>
          <w:szCs w:val="28"/>
          <w:lang w:eastAsia="es-AR"/>
        </w:rPr>
      </w:pPr>
    </w:p>
    <w:p w:rsidR="00E56AE0" w:rsidRDefault="00A103E9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  <w:r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Es importante destacar</w:t>
      </w:r>
      <w:r w:rsidR="00E56AE0"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 xml:space="preserve"> que la Inspección de Personas Jurídicas solo tiene jurisdicción dentro de la Ciudad Autónoma de Buenos Aires y que en el último párrafo de la Resolución bajo comentario se </w:t>
      </w:r>
      <w:r w:rsidR="00C0319A"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presume que debe referirse al d</w:t>
      </w:r>
      <w:r w:rsidR="00E56AE0"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 xml:space="preserve">omicilio de la sede del agente </w:t>
      </w:r>
      <w:r w:rsidR="00C0319A"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Institorio</w:t>
      </w:r>
      <w:r w:rsidR="00E56AE0"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.</w:t>
      </w:r>
    </w:p>
    <w:p w:rsidR="00A103E9" w:rsidRDefault="00A103E9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A103E9" w:rsidRDefault="00A103E9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  <w:r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Resta esperar que resolución tomará la SSN frente a esta duplicación de registros creada por la Resolución 38.052.</w:t>
      </w:r>
    </w:p>
    <w:p w:rsidR="00A103E9" w:rsidRDefault="00A103E9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C0319A" w:rsidRDefault="00C0319A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C0319A" w:rsidRPr="00E56AE0" w:rsidRDefault="00C0319A" w:rsidP="00227948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  <w:r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Buenos Aires, 7 de agosto de 2024.</w:t>
      </w:r>
    </w:p>
    <w:p w:rsidR="00227948" w:rsidRDefault="00227948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Default="00227948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Default="00A103E9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  <w:r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  <w:t>Informe 8 – 2024 /6</w:t>
      </w:r>
    </w:p>
    <w:p w:rsidR="00227948" w:rsidRDefault="00227948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Default="00227948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Default="00227948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Default="00227948" w:rsidP="00D72576">
      <w:pPr>
        <w:shd w:val="clear" w:color="auto" w:fill="FFFFFF"/>
        <w:spacing w:after="0" w:line="240" w:lineRule="auto"/>
        <w:rPr>
          <w:rFonts w:eastAsia="Times New Roman" w:cstheme="minorHAnsi"/>
          <w:b/>
          <w:iCs/>
          <w:color w:val="000000"/>
          <w:sz w:val="28"/>
          <w:szCs w:val="28"/>
          <w:lang w:eastAsia="es-AR"/>
        </w:rPr>
      </w:pPr>
    </w:p>
    <w:p w:rsidR="00227948" w:rsidRPr="001F0FA6" w:rsidRDefault="00227948" w:rsidP="00D725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:rsidR="00D72576" w:rsidRPr="001F0FA6" w:rsidRDefault="00D72576" w:rsidP="00D725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:rsidR="00707548" w:rsidRDefault="00D72576" w:rsidP="00D7257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  <w:r w:rsidRPr="001F0FA6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br/>
      </w:r>
      <w:r w:rsidRPr="001F0FA6">
        <w:rPr>
          <w:rFonts w:ascii="Tahoma" w:eastAsia="Times New Roman" w:hAnsi="Tahoma" w:cs="Tahoma"/>
          <w:color w:val="000000"/>
          <w:sz w:val="24"/>
          <w:szCs w:val="24"/>
          <w:lang w:eastAsia="es-AR"/>
        </w:rPr>
        <w:br/>
      </w:r>
    </w:p>
    <w:p w:rsidR="00707548" w:rsidRDefault="00707548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iCs/>
          <w:color w:val="000000"/>
          <w:sz w:val="24"/>
          <w:szCs w:val="24"/>
          <w:lang w:eastAsia="es-AR"/>
        </w:rPr>
      </w:pPr>
    </w:p>
    <w:p w:rsidR="00707548" w:rsidRPr="00707548" w:rsidRDefault="00707548" w:rsidP="0070754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es-AR"/>
        </w:rPr>
      </w:pPr>
    </w:p>
    <w:p w:rsidR="00BE0EFD" w:rsidRPr="00BE0EFD" w:rsidRDefault="00BE0EFD" w:rsidP="00BE0EFD">
      <w:pPr>
        <w:jc w:val="both"/>
        <w:rPr>
          <w:b/>
          <w:sz w:val="28"/>
          <w:szCs w:val="28"/>
        </w:rPr>
      </w:pPr>
    </w:p>
    <w:p w:rsidR="004F2BC4" w:rsidRPr="004F2BC4" w:rsidRDefault="004F2BC4" w:rsidP="004F2BC4">
      <w:pPr>
        <w:jc w:val="both"/>
        <w:rPr>
          <w:b/>
          <w:sz w:val="28"/>
          <w:szCs w:val="28"/>
        </w:rPr>
      </w:pPr>
    </w:p>
    <w:sectPr w:rsidR="004F2BC4" w:rsidRPr="004F2BC4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F6" w:rsidRDefault="008C0CF6" w:rsidP="00BA66A1">
      <w:pPr>
        <w:spacing w:after="0" w:line="240" w:lineRule="auto"/>
      </w:pPr>
      <w:r>
        <w:separator/>
      </w:r>
    </w:p>
  </w:endnote>
  <w:endnote w:type="continuationSeparator" w:id="0">
    <w:p w:rsidR="008C0CF6" w:rsidRDefault="008C0CF6" w:rsidP="00BA6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754147"/>
      <w:docPartObj>
        <w:docPartGallery w:val="Page Numbers (Bottom of Page)"/>
        <w:docPartUnique/>
      </w:docPartObj>
    </w:sdtPr>
    <w:sdtEndPr/>
    <w:sdtContent>
      <w:p w:rsidR="00A103E9" w:rsidRDefault="00A103E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432" w:rsidRPr="00447432">
          <w:rPr>
            <w:noProof/>
            <w:lang w:val="es-ES"/>
          </w:rPr>
          <w:t>3</w:t>
        </w:r>
        <w:r>
          <w:fldChar w:fldCharType="end"/>
        </w:r>
      </w:p>
    </w:sdtContent>
  </w:sdt>
  <w:p w:rsidR="00A103E9" w:rsidRPr="00353EED" w:rsidRDefault="00A103E9" w:rsidP="00A103E9">
    <w:pPr>
      <w:jc w:val="center"/>
      <w:rPr>
        <w:rFonts w:ascii="Verdana" w:eastAsia="Times New Roman" w:hAnsi="Verdana" w:cs="Helvetica"/>
        <w:b/>
        <w:i/>
        <w:iCs/>
        <w:color w:val="5B9BD5" w:themeColor="accent1"/>
        <w:sz w:val="16"/>
        <w:szCs w:val="16"/>
        <w:lang w:val="es-ES"/>
      </w:rPr>
    </w:pPr>
    <w:r w:rsidRPr="00F84DD9">
      <w:rPr>
        <w:rFonts w:ascii="Verdana" w:eastAsia="Times New Roman" w:hAnsi="Verdana" w:cs="Helvetica"/>
        <w:b/>
        <w:i/>
        <w:iCs/>
        <w:color w:val="5B9BD5" w:themeColor="accent1"/>
        <w:sz w:val="16"/>
        <w:szCs w:val="16"/>
        <w:lang w:val="es-ES"/>
      </w:rPr>
      <w:t>Viamon</w:t>
    </w:r>
    <w:r>
      <w:rPr>
        <w:rFonts w:ascii="Verdana" w:eastAsia="Times New Roman" w:hAnsi="Verdana" w:cs="Helvetica"/>
        <w:b/>
        <w:i/>
        <w:iCs/>
        <w:color w:val="5B9BD5" w:themeColor="accent1"/>
        <w:sz w:val="16"/>
        <w:szCs w:val="16"/>
        <w:lang w:val="es-ES"/>
      </w:rPr>
      <w:t>te</w:t>
    </w:r>
    <w:r w:rsidRPr="00F84DD9">
      <w:rPr>
        <w:rFonts w:ascii="Verdana" w:eastAsia="Times New Roman" w:hAnsi="Verdana" w:cs="Helvetica"/>
        <w:b/>
        <w:i/>
        <w:iCs/>
        <w:color w:val="5B9BD5" w:themeColor="accent1"/>
        <w:sz w:val="16"/>
        <w:szCs w:val="16"/>
        <w:lang w:val="es-ES"/>
      </w:rPr>
      <w:t xml:space="preserve"> 1621 - 8º piso – (1055) Ciudad A. de Buenos Aires – República Argentina</w:t>
    </w:r>
  </w:p>
  <w:p w:rsidR="00A103E9" w:rsidRDefault="00A103E9" w:rsidP="00A103E9">
    <w:pPr>
      <w:jc w:val="center"/>
      <w:rPr>
        <w:rFonts w:ascii="Verdana" w:hAnsi="Verdana"/>
        <w:b/>
        <w:i/>
        <w:color w:val="5B9BD5" w:themeColor="accent1"/>
        <w:sz w:val="16"/>
        <w:szCs w:val="16"/>
        <w:lang w:val="es-ES"/>
      </w:rPr>
    </w:pPr>
    <w:r>
      <w:rPr>
        <w:rFonts w:ascii="Verdana" w:hAnsi="Verdana"/>
        <w:b/>
        <w:i/>
        <w:color w:val="5B9BD5" w:themeColor="accent1"/>
        <w:sz w:val="16"/>
        <w:szCs w:val="16"/>
        <w:lang w:val="es-ES"/>
      </w:rPr>
      <w:t>Tel. (54) (11) 6 357 0808</w:t>
    </w:r>
  </w:p>
  <w:p w:rsidR="00A103E9" w:rsidRDefault="00A103E9" w:rsidP="00A103E9">
    <w:pPr>
      <w:jc w:val="center"/>
      <w:rPr>
        <w:rFonts w:ascii="Verdana" w:hAnsi="Verdana"/>
        <w:b/>
        <w:i/>
        <w:color w:val="5B9BD5" w:themeColor="accent1"/>
        <w:sz w:val="16"/>
        <w:szCs w:val="16"/>
        <w:lang w:val="es-ES"/>
      </w:rPr>
    </w:pPr>
  </w:p>
  <w:p w:rsidR="00A103E9" w:rsidRDefault="00A103E9" w:rsidP="00A103E9">
    <w:pPr>
      <w:jc w:val="both"/>
      <w:rPr>
        <w:rFonts w:ascii="Verdana" w:hAnsi="Verdana"/>
        <w:b/>
        <w:i/>
        <w:color w:val="5B9BD5" w:themeColor="accent1"/>
        <w:sz w:val="16"/>
        <w:szCs w:val="16"/>
        <w:lang w:val="es-ES"/>
      </w:rPr>
    </w:pPr>
  </w:p>
  <w:p w:rsidR="00BA66A1" w:rsidRDefault="00BA66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F6" w:rsidRDefault="008C0CF6" w:rsidP="00BA66A1">
      <w:pPr>
        <w:spacing w:after="0" w:line="240" w:lineRule="auto"/>
      </w:pPr>
      <w:r>
        <w:separator/>
      </w:r>
    </w:p>
  </w:footnote>
  <w:footnote w:type="continuationSeparator" w:id="0">
    <w:p w:rsidR="008C0CF6" w:rsidRDefault="008C0CF6" w:rsidP="00BA6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A1D" w:rsidRPr="00F84DD9" w:rsidRDefault="00896A1D" w:rsidP="00896A1D">
    <w:pPr>
      <w:spacing w:after="0" w:line="257" w:lineRule="auto"/>
      <w:rPr>
        <w:rFonts w:ascii="Helvetica" w:eastAsia="Times New Roman" w:hAnsi="Helvetica" w:cs="Helvetica"/>
        <w:b/>
        <w:color w:val="5B9BD5" w:themeColor="accent1"/>
        <w:sz w:val="20"/>
        <w:szCs w:val="20"/>
        <w:lang w:val="es-ES"/>
      </w:rPr>
    </w:pPr>
    <w:r w:rsidRPr="00F84DD9">
      <w:rPr>
        <w:rFonts w:ascii="Verdana" w:eastAsia="Times New Roman" w:hAnsi="Verdana" w:cs="Helvetica"/>
        <w:b/>
        <w:i/>
        <w:iCs/>
        <w:color w:val="5B9BD5" w:themeColor="accent1"/>
        <w:sz w:val="20"/>
        <w:szCs w:val="20"/>
        <w:lang w:val="es-ES"/>
      </w:rPr>
      <w:t>Fernández Blanco y Asociados</w:t>
    </w:r>
  </w:p>
  <w:p w:rsidR="00896A1D" w:rsidRPr="00DD1074" w:rsidRDefault="00896A1D" w:rsidP="00DD1074">
    <w:pPr>
      <w:spacing w:after="0" w:line="257" w:lineRule="auto"/>
      <w:rPr>
        <w:rFonts w:ascii="Verdana" w:eastAsia="Times New Roman" w:hAnsi="Verdana" w:cs="Helvetica"/>
        <w:b/>
        <w:i/>
        <w:iCs/>
        <w:color w:val="5B9BD5" w:themeColor="accent1"/>
        <w:sz w:val="20"/>
        <w:szCs w:val="20"/>
        <w:u w:val="single"/>
        <w:lang w:val="es-ES"/>
      </w:rPr>
    </w:pPr>
    <w:r w:rsidRPr="00F84DD9">
      <w:rPr>
        <w:rFonts w:ascii="Verdana" w:eastAsia="Times New Roman" w:hAnsi="Verdana" w:cs="Helvetica"/>
        <w:b/>
        <w:i/>
        <w:iCs/>
        <w:color w:val="5B9BD5" w:themeColor="accent1"/>
        <w:sz w:val="20"/>
        <w:szCs w:val="20"/>
        <w:u w:val="single"/>
        <w:lang w:val="es-ES"/>
      </w:rPr>
      <w:t>Servicios de Consultoría______________</w:t>
    </w:r>
    <w:r>
      <w:rPr>
        <w:rFonts w:ascii="Verdana" w:eastAsia="Times New Roman" w:hAnsi="Verdana" w:cs="Helvetica"/>
        <w:b/>
        <w:i/>
        <w:iCs/>
        <w:color w:val="5B9BD5" w:themeColor="accent1"/>
        <w:sz w:val="20"/>
        <w:szCs w:val="20"/>
        <w:u w:val="single"/>
        <w:lang w:val="es-ES"/>
      </w:rPr>
      <w:t>_________________________</w:t>
    </w:r>
  </w:p>
  <w:p w:rsidR="00BA66A1" w:rsidRDefault="00BA66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737D8"/>
    <w:multiLevelType w:val="hybridMultilevel"/>
    <w:tmpl w:val="F4D4EFB2"/>
    <w:lvl w:ilvl="0" w:tplc="3DAA0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AB"/>
    <w:rsid w:val="00006AE9"/>
    <w:rsid w:val="000A1DEB"/>
    <w:rsid w:val="000B6451"/>
    <w:rsid w:val="00125460"/>
    <w:rsid w:val="00156BA2"/>
    <w:rsid w:val="001628F3"/>
    <w:rsid w:val="001F0FA6"/>
    <w:rsid w:val="00227948"/>
    <w:rsid w:val="003262EF"/>
    <w:rsid w:val="00425178"/>
    <w:rsid w:val="00447432"/>
    <w:rsid w:val="004F2BC4"/>
    <w:rsid w:val="006965B6"/>
    <w:rsid w:val="00707548"/>
    <w:rsid w:val="007B01CC"/>
    <w:rsid w:val="0081117B"/>
    <w:rsid w:val="008253AB"/>
    <w:rsid w:val="00896A1D"/>
    <w:rsid w:val="008A1201"/>
    <w:rsid w:val="008C0CF6"/>
    <w:rsid w:val="008E0748"/>
    <w:rsid w:val="00A103E9"/>
    <w:rsid w:val="00A51A62"/>
    <w:rsid w:val="00A76D5F"/>
    <w:rsid w:val="00BA66A1"/>
    <w:rsid w:val="00BE0EFD"/>
    <w:rsid w:val="00C0319A"/>
    <w:rsid w:val="00D72576"/>
    <w:rsid w:val="00D73E1E"/>
    <w:rsid w:val="00DD1074"/>
    <w:rsid w:val="00E56AE0"/>
    <w:rsid w:val="00E64FAF"/>
    <w:rsid w:val="00E86083"/>
    <w:rsid w:val="00F72842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E87CF"/>
  <w15:chartTrackingRefBased/>
  <w15:docId w15:val="{BBA658ED-0CDB-4E88-AB41-935D78A7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2BC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A66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6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6A1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66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66A1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6A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A6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66A1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BA66A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66A1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25AB5-E879-488C-B2F6-9277511C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1581</TotalTime>
  <Pages>1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Blanco</dc:creator>
  <cp:keywords/>
  <dc:description/>
  <cp:lastModifiedBy>Carlos Blanco</cp:lastModifiedBy>
  <cp:revision>14</cp:revision>
  <dcterms:created xsi:type="dcterms:W3CDTF">2024-07-31T23:17:00Z</dcterms:created>
  <dcterms:modified xsi:type="dcterms:W3CDTF">2024-08-14T14:16:00Z</dcterms:modified>
</cp:coreProperties>
</file>