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F4AF" w14:textId="77777777" w:rsidR="0051669D" w:rsidRDefault="0051669D" w:rsidP="005822A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1669D">
        <w:rPr>
          <w:rFonts w:asciiTheme="minorHAnsi" w:hAnsiTheme="minorHAnsi" w:cstheme="minorHAnsi"/>
          <w:b/>
          <w:bCs/>
          <w:sz w:val="40"/>
          <w:szCs w:val="40"/>
        </w:rPr>
        <w:t xml:space="preserve">El seguro recupera la confianza: </w:t>
      </w:r>
    </w:p>
    <w:p w14:paraId="323044F7" w14:textId="30580921" w:rsidR="00A875E2" w:rsidRDefault="0051669D" w:rsidP="00C62D7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C</w:t>
      </w:r>
      <w:r w:rsidRPr="0051669D">
        <w:rPr>
          <w:rFonts w:asciiTheme="minorHAnsi" w:hAnsiTheme="minorHAnsi" w:cstheme="minorHAnsi"/>
          <w:b/>
          <w:bCs/>
          <w:sz w:val="40"/>
          <w:szCs w:val="40"/>
        </w:rPr>
        <w:t>rece la satisfacción y la fidelidad de los asegurados</w:t>
      </w:r>
    </w:p>
    <w:p w14:paraId="264A60B1" w14:textId="3EE9E32E" w:rsidR="00A875E2" w:rsidRDefault="0051669D" w:rsidP="00A875E2">
      <w:pPr>
        <w:spacing w:before="280" w:after="280" w:line="240" w:lineRule="auto"/>
        <w:rPr>
          <w:rFonts w:asciiTheme="minorHAnsi" w:hAnsiTheme="minorHAnsi" w:cstheme="minorHAnsi"/>
          <w:b/>
          <w:bCs/>
          <w:i/>
          <w:iCs/>
          <w:color w:val="4472C4" w:themeColor="accent1"/>
          <w:sz w:val="24"/>
          <w:szCs w:val="24"/>
        </w:rPr>
      </w:pPr>
      <w:r w:rsidRPr="0051669D">
        <w:rPr>
          <w:rFonts w:asciiTheme="minorHAnsi" w:hAnsiTheme="minorHAnsi" w:cstheme="minorHAnsi"/>
          <w:b/>
          <w:bCs/>
          <w:i/>
          <w:iCs/>
          <w:color w:val="4472C4" w:themeColor="accent1"/>
          <w:sz w:val="24"/>
          <w:szCs w:val="24"/>
        </w:rPr>
        <w:t>En un contexto desafiante, el sector asegurador argentino muestra capacidad de adaptación y mejora continua en la atención y relación con sus asegurados.</w:t>
      </w:r>
    </w:p>
    <w:p w14:paraId="66564B3F" w14:textId="784E2EF4" w:rsidR="00A875E2" w:rsidRDefault="00721F76" w:rsidP="00A875E2">
      <w:pPr>
        <w:spacing w:before="280" w:after="280" w:line="240" w:lineRule="auto"/>
        <w:rPr>
          <w:rFonts w:asciiTheme="minorHAnsi" w:hAnsiTheme="minorHAnsi" w:cstheme="minorHAnsi"/>
        </w:rPr>
      </w:pPr>
      <w:r w:rsidRPr="00A875E2">
        <w:rPr>
          <w:rFonts w:asciiTheme="minorHAnsi" w:hAnsiTheme="minorHAnsi" w:cstheme="minorHAnsi"/>
          <w:shd w:val="clear" w:color="auto" w:fill="FCFBFB"/>
        </w:rPr>
        <w:t>Un aspecto para destacar</w:t>
      </w:r>
      <w:r w:rsidR="00A91911" w:rsidRPr="00A875E2">
        <w:rPr>
          <w:rFonts w:asciiTheme="minorHAnsi" w:hAnsiTheme="minorHAnsi" w:cstheme="minorHAnsi"/>
          <w:shd w:val="clear" w:color="auto" w:fill="FCFBFB"/>
        </w:rPr>
        <w:t xml:space="preserve"> es</w:t>
      </w:r>
      <w:r w:rsidR="0051669D" w:rsidRPr="00A875E2">
        <w:rPr>
          <w:rFonts w:asciiTheme="minorHAnsi" w:hAnsiTheme="minorHAnsi" w:cstheme="minorHAnsi"/>
          <w:shd w:val="clear" w:color="auto" w:fill="FCFBFB"/>
        </w:rPr>
        <w:t xml:space="preserve"> el incremento en la fidelidad de los asegurados. El 68% de quienes tuvieron siniestros aseguran que es “muy probable” que sigan con su aseguradora, lo que representa un aumento de 7 puntos en comparación con 2024</w:t>
      </w:r>
      <w:r w:rsidR="00A875E2" w:rsidRPr="00A875E2">
        <w:rPr>
          <w:rFonts w:asciiTheme="minorHAnsi" w:hAnsiTheme="minorHAnsi" w:cstheme="minorHAnsi"/>
          <w:shd w:val="clear" w:color="auto" w:fill="FCFBFB"/>
        </w:rPr>
        <w:t>.</w:t>
      </w:r>
      <w:r w:rsidR="00A875E2" w:rsidRPr="00A875E2">
        <w:rPr>
          <w:rFonts w:asciiTheme="minorHAnsi" w:hAnsiTheme="minorHAnsi" w:cstheme="minorHAnsi"/>
        </w:rPr>
        <w:t xml:space="preserve"> Estos resultados reflejan un “rebote de confianza” en el sector, tras el desgaste sufrido durante </w:t>
      </w:r>
      <w:r w:rsidR="00BF08AE">
        <w:rPr>
          <w:rFonts w:asciiTheme="minorHAnsi" w:hAnsiTheme="minorHAnsi" w:cstheme="minorHAnsi"/>
        </w:rPr>
        <w:t>el 2022/2023</w:t>
      </w:r>
      <w:r w:rsidR="003A32A6">
        <w:rPr>
          <w:rFonts w:asciiTheme="minorHAnsi" w:hAnsiTheme="minorHAnsi" w:cstheme="minorHAnsi"/>
        </w:rPr>
        <w:t>.</w:t>
      </w:r>
    </w:p>
    <w:p w14:paraId="3902C7C5" w14:textId="05489C1B" w:rsidR="003D1C4B" w:rsidRDefault="003D1C4B" w:rsidP="00A875E2">
      <w:pPr>
        <w:spacing w:before="280" w:after="280" w:line="240" w:lineRule="auto"/>
        <w:rPr>
          <w:rFonts w:asciiTheme="minorHAnsi" w:hAnsiTheme="minorHAnsi" w:cstheme="minorHAnsi"/>
        </w:rPr>
      </w:pPr>
      <w:r w:rsidRPr="00A875E2">
        <w:rPr>
          <w:rFonts w:asciiTheme="minorHAnsi" w:hAnsiTheme="minorHAnsi" w:cstheme="minorHAnsi"/>
        </w:rPr>
        <w:t xml:space="preserve">El Monitor del Mercado Asegurador es una investigación anual </w:t>
      </w:r>
      <w:r w:rsidR="00BF08AE">
        <w:rPr>
          <w:rFonts w:asciiTheme="minorHAnsi" w:hAnsiTheme="minorHAnsi" w:cstheme="minorHAnsi"/>
        </w:rPr>
        <w:t>realizada por</w:t>
      </w:r>
      <w:r w:rsidRPr="00A875E2">
        <w:rPr>
          <w:rFonts w:asciiTheme="minorHAnsi" w:hAnsiTheme="minorHAnsi" w:cstheme="minorHAnsi"/>
        </w:rPr>
        <w:t xml:space="preserve"> SEL Consultores </w:t>
      </w:r>
      <w:r w:rsidR="00BF08AE">
        <w:rPr>
          <w:rFonts w:asciiTheme="minorHAnsi" w:hAnsiTheme="minorHAnsi" w:cstheme="minorHAnsi"/>
        </w:rPr>
        <w:t xml:space="preserve">y la Asociación Argentina de Compañías de Seguros </w:t>
      </w:r>
      <w:r w:rsidRPr="00A875E2">
        <w:rPr>
          <w:rFonts w:asciiTheme="minorHAnsi" w:hAnsiTheme="minorHAnsi" w:cstheme="minorHAnsi"/>
        </w:rPr>
        <w:t xml:space="preserve">que releva la opinión de los asegurados sobre la calidad del servicio brindado por las compañías de seguros patrimoniales en la Argentina. Los resultados </w:t>
      </w:r>
      <w:r>
        <w:rPr>
          <w:rFonts w:asciiTheme="minorHAnsi" w:hAnsiTheme="minorHAnsi" w:cstheme="minorHAnsi"/>
        </w:rPr>
        <w:t xml:space="preserve">del estudio </w:t>
      </w:r>
      <w:r w:rsidRPr="00A875E2">
        <w:rPr>
          <w:rFonts w:asciiTheme="minorHAnsi" w:hAnsiTheme="minorHAnsi" w:cstheme="minorHAnsi"/>
        </w:rPr>
        <w:t xml:space="preserve">realizado durante este año sugieren que la recuperación de la confianza podría impactar positivamente en la retención de clientes y en la estabilidad de las carteras. </w:t>
      </w:r>
    </w:p>
    <w:p w14:paraId="110EE8B2" w14:textId="4E51EC6B" w:rsidR="00BF08AE" w:rsidRDefault="00BF08AE" w:rsidP="00A875E2">
      <w:pPr>
        <w:spacing w:before="280" w:after="28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muestra alcanzó un 75% de participación de mercado en Automóviles y un 50% en Hogar y Comercio.</w:t>
      </w:r>
    </w:p>
    <w:p w14:paraId="179199F3" w14:textId="77777777" w:rsidR="00721F76" w:rsidRPr="00A875E2" w:rsidRDefault="00A875E2" w:rsidP="00A875E2">
      <w:pPr>
        <w:spacing w:before="280" w:after="280" w:line="240" w:lineRule="auto"/>
        <w:rPr>
          <w:b/>
          <w:bCs/>
        </w:rPr>
      </w:pPr>
      <w:r w:rsidRPr="00A875E2">
        <w:rPr>
          <w:b/>
          <w:bCs/>
        </w:rPr>
        <w:t>R</w:t>
      </w:r>
      <w:r w:rsidR="00721F76" w:rsidRPr="00A875E2">
        <w:rPr>
          <w:b/>
          <w:bCs/>
        </w:rPr>
        <w:t>ecuperación del vínculo y mejora del servicio</w:t>
      </w:r>
    </w:p>
    <w:p w14:paraId="2A479509" w14:textId="123C3A88" w:rsidR="009E521C" w:rsidRDefault="00721F76" w:rsidP="00A875E2">
      <w:pPr>
        <w:spacing w:before="280" w:after="280" w:line="240" w:lineRule="auto"/>
      </w:pPr>
      <w:r>
        <w:t xml:space="preserve">Los asegurados </w:t>
      </w:r>
      <w:r w:rsidR="00BF08AE">
        <w:t xml:space="preserve">eligen donde asegurarse en virtud de </w:t>
      </w:r>
      <w:r>
        <w:t>la recomendación del productor</w:t>
      </w:r>
      <w:r w:rsidR="00BF08AE">
        <w:t xml:space="preserve"> (32%)</w:t>
      </w:r>
      <w:r>
        <w:t>, la relación precio/cobertura</w:t>
      </w:r>
      <w:r w:rsidR="00BF08AE">
        <w:t xml:space="preserve"> (30%)</w:t>
      </w:r>
      <w:r>
        <w:t xml:space="preserve"> y la trayectoria de la compañía</w:t>
      </w:r>
      <w:r w:rsidR="00BF08AE">
        <w:t xml:space="preserve"> (25%)</w:t>
      </w:r>
      <w:r>
        <w:t xml:space="preserve"> como los principales factores al momento de elegir. </w:t>
      </w:r>
    </w:p>
    <w:p w14:paraId="47CBCA35" w14:textId="4FF5F868" w:rsidR="00721F76" w:rsidRDefault="00721F76" w:rsidP="00A875E2">
      <w:pPr>
        <w:spacing w:before="280" w:after="280" w:line="240" w:lineRule="auto"/>
      </w:pPr>
      <w:r>
        <w:t>En los segmentos más jóvenes gana peso la recomendación de conocidos y el precio, mientras que en los mayores de 50 años predomina la confianza en la trayectoria de la aseguradora.</w:t>
      </w:r>
    </w:p>
    <w:p w14:paraId="469CF5E2" w14:textId="250EF22F" w:rsidR="003D1C4B" w:rsidRDefault="003D1C4B" w:rsidP="00A875E2">
      <w:pPr>
        <w:spacing w:before="280" w:after="280" w:line="240" w:lineRule="auto"/>
      </w:pPr>
      <w:r>
        <w:rPr>
          <w:noProof/>
        </w:rPr>
        <w:lastRenderedPageBreak/>
        <w:drawing>
          <wp:inline distT="0" distB="0" distL="0" distR="0" wp14:anchorId="19C47FE8" wp14:editId="2DA5323E">
            <wp:extent cx="5400040" cy="2613660"/>
            <wp:effectExtent l="0" t="0" r="0" b="0"/>
            <wp:docPr id="16785882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CEF74" w14:textId="77777777" w:rsidR="008E496C" w:rsidRDefault="008E496C" w:rsidP="00A875E2">
      <w:pPr>
        <w:spacing w:before="280" w:after="280" w:line="240" w:lineRule="auto"/>
        <w:rPr>
          <w:b/>
          <w:bCs/>
        </w:rPr>
      </w:pPr>
    </w:p>
    <w:p w14:paraId="70191F4E" w14:textId="68DCAC5A" w:rsidR="00721F76" w:rsidRPr="00A875E2" w:rsidRDefault="00721F76" w:rsidP="00A875E2">
      <w:pPr>
        <w:spacing w:before="280" w:after="280" w:line="240" w:lineRule="auto"/>
        <w:rPr>
          <w:b/>
          <w:bCs/>
        </w:rPr>
      </w:pPr>
      <w:r w:rsidRPr="00A875E2">
        <w:rPr>
          <w:b/>
          <w:bCs/>
        </w:rPr>
        <w:t>Canales y gestión de siniestros con mejoras generalizadas</w:t>
      </w:r>
    </w:p>
    <w:p w14:paraId="5649DD6B" w14:textId="3EC580E8" w:rsidR="00BF08AE" w:rsidRDefault="00721F76" w:rsidP="007132C1">
      <w:pPr>
        <w:spacing w:before="280" w:after="280" w:line="240" w:lineRule="auto"/>
      </w:pPr>
      <w:r>
        <w:t xml:space="preserve">El relevamiento muestra </w:t>
      </w:r>
      <w:r w:rsidR="00502565">
        <w:t>una importante mejora en todos los aspectos de la atención de y gestión de los siniestros de automóviles; destacándose por primera vez en varios años el incremento de la satisfacción en los tiempos de llegada de las grúas.</w:t>
      </w:r>
      <w:r w:rsidR="00502565" w:rsidRPr="00502565">
        <w:drawing>
          <wp:inline distT="0" distB="0" distL="0" distR="0" wp14:anchorId="225EB3B4" wp14:editId="55E44C72">
            <wp:extent cx="5674659" cy="3832412"/>
            <wp:effectExtent l="0" t="0" r="0" b="0"/>
            <wp:docPr id="21014777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AE726F0-E56F-4264-AA11-15FD17355F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</w:t>
      </w:r>
    </w:p>
    <w:p w14:paraId="41B8734F" w14:textId="37449263" w:rsidR="00502565" w:rsidRDefault="00502565" w:rsidP="007132C1">
      <w:pPr>
        <w:spacing w:before="280" w:after="280" w:line="240" w:lineRule="auto"/>
      </w:pPr>
      <w:r>
        <w:lastRenderedPageBreak/>
        <w:t>Asimismo, cuando la muestra se abre por aseguradora, las puntas se alejan y muestran grandes disimilitudes en los niveles de gestión de siniestros entre jugadores.</w:t>
      </w:r>
    </w:p>
    <w:p w14:paraId="3231CC73" w14:textId="2999CE45" w:rsidR="00502565" w:rsidRDefault="00502565" w:rsidP="007132C1">
      <w:pPr>
        <w:spacing w:before="280" w:after="280" w:line="240" w:lineRule="auto"/>
      </w:pPr>
      <w:r w:rsidRPr="00502565">
        <w:drawing>
          <wp:inline distT="0" distB="0" distL="0" distR="0" wp14:anchorId="0C8AEE7B" wp14:editId="578DF71C">
            <wp:extent cx="5400040" cy="2604770"/>
            <wp:effectExtent l="0" t="0" r="0" b="0"/>
            <wp:docPr id="4640192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B4D5316-BECF-3C8C-C70C-196711EAFD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98354F4" w14:textId="095D2C6F" w:rsidR="007132C1" w:rsidRDefault="00721F76" w:rsidP="007132C1">
      <w:pPr>
        <w:spacing w:before="280" w:after="280" w:line="240" w:lineRule="auto"/>
      </w:pPr>
      <w:r>
        <w:t xml:space="preserve">En los siniestros </w:t>
      </w:r>
      <w:r w:rsidR="00502565">
        <w:t>de hogar y comercio</w:t>
      </w:r>
      <w:r>
        <w:t xml:space="preserve">, el avance se concentra en la atención general del siniestro, aunque se observan mayores diferencias entre </w:t>
      </w:r>
      <w:r w:rsidR="00E61711">
        <w:t>empresas. En</w:t>
      </w:r>
      <w:r w:rsidR="007132C1" w:rsidRPr="007132C1">
        <w:t xml:space="preserve"> el comparativo con el año anterior, el mercado manifiesta promedios crecientes en la</w:t>
      </w:r>
      <w:r w:rsidR="007132C1">
        <w:t xml:space="preserve"> </w:t>
      </w:r>
      <w:r w:rsidR="007132C1" w:rsidRPr="007132C1">
        <w:t xml:space="preserve">atención del siniestro integral y </w:t>
      </w:r>
      <w:r w:rsidR="007132C1">
        <w:t>estables</w:t>
      </w:r>
      <w:r w:rsidR="007132C1" w:rsidRPr="007132C1">
        <w:t xml:space="preserve"> en la evaluación del servicio de asistencia</w:t>
      </w:r>
    </w:p>
    <w:p w14:paraId="28B68FF7" w14:textId="00FF7E44" w:rsidR="007132C1" w:rsidRDefault="007132C1" w:rsidP="00A875E2">
      <w:pPr>
        <w:spacing w:before="280" w:after="280" w:line="240" w:lineRule="auto"/>
      </w:pPr>
      <w:r w:rsidRPr="007132C1">
        <w:rPr>
          <w:noProof/>
        </w:rPr>
        <w:drawing>
          <wp:inline distT="0" distB="0" distL="0" distR="0" wp14:anchorId="0A466ADE" wp14:editId="708BF21A">
            <wp:extent cx="5400040" cy="2807335"/>
            <wp:effectExtent l="0" t="0" r="0" b="0"/>
            <wp:docPr id="18973770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AE726F0-E56F-4264-AA11-15FD17355F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EB2F3DB" w14:textId="776AC3E5" w:rsidR="007132C1" w:rsidRDefault="008E496C" w:rsidP="008E496C">
      <w:pPr>
        <w:spacing w:before="280" w:after="280" w:line="240" w:lineRule="auto"/>
      </w:pPr>
      <w:r>
        <w:t>E</w:t>
      </w:r>
      <w:r w:rsidRPr="008E496C">
        <w:t xml:space="preserve">n la evaluación de los aspectos puntuales vinculados a siniestros integrales, </w:t>
      </w:r>
      <w:r>
        <w:t>se</w:t>
      </w:r>
      <w:r w:rsidRPr="008E496C">
        <w:t xml:space="preserve"> potencian las fuertes oscilaciones por compañías en 2025</w:t>
      </w:r>
      <w:r>
        <w:t>. L</w:t>
      </w:r>
      <w:r w:rsidRPr="008E496C">
        <w:t>a brecha promedio entre máximos y mínimos de mercado llega a 3,5 puntos, 1,1 puntos por encima de 2024.</w:t>
      </w:r>
    </w:p>
    <w:p w14:paraId="5048510E" w14:textId="013B1C76" w:rsidR="007132C1" w:rsidRDefault="007132C1" w:rsidP="00A875E2">
      <w:pPr>
        <w:spacing w:before="280" w:after="280" w:line="240" w:lineRule="auto"/>
      </w:pPr>
    </w:p>
    <w:p w14:paraId="1DD9F781" w14:textId="4FBC561F" w:rsidR="00721F76" w:rsidRPr="00A875E2" w:rsidRDefault="00721F76" w:rsidP="00A875E2">
      <w:pPr>
        <w:spacing w:before="280" w:after="280" w:line="240" w:lineRule="auto"/>
        <w:rPr>
          <w:b/>
          <w:bCs/>
        </w:rPr>
      </w:pPr>
      <w:bookmarkStart w:id="0" w:name="_Hlk217029162"/>
      <w:proofErr w:type="gramStart"/>
      <w:r w:rsidRPr="00A875E2">
        <w:rPr>
          <w:b/>
          <w:bCs/>
        </w:rPr>
        <w:lastRenderedPageBreak/>
        <w:t>Alta propensión a continuar</w:t>
      </w:r>
      <w:proofErr w:type="gramEnd"/>
    </w:p>
    <w:p w14:paraId="4DF8CF2D" w14:textId="1C5101F6" w:rsidR="00467AB9" w:rsidRDefault="00467AB9" w:rsidP="00A875E2">
      <w:pPr>
        <w:spacing w:before="280" w:after="280" w:line="240" w:lineRule="auto"/>
        <w:rPr>
          <w:rFonts w:asciiTheme="minorHAnsi" w:hAnsiTheme="minorHAnsi" w:cstheme="minorHAnsi"/>
        </w:rPr>
      </w:pPr>
      <w:bookmarkStart w:id="1" w:name="_Hlk212107717"/>
      <w:bookmarkEnd w:id="0"/>
      <w:r w:rsidRPr="00467AB9">
        <w:rPr>
          <w:rFonts w:asciiTheme="minorHAnsi" w:hAnsiTheme="minorHAnsi" w:cstheme="minorHAnsi"/>
        </w:rPr>
        <w:t>En un contexto desafiante, el sector asegurador argentino muestra capacidad de adaptación y mejora continua en la atención y relación con sus asegurados</w:t>
      </w:r>
      <w:bookmarkEnd w:id="1"/>
      <w:r w:rsidR="00502565">
        <w:rPr>
          <w:rFonts w:asciiTheme="minorHAnsi" w:hAnsiTheme="minorHAnsi" w:cstheme="minorHAnsi"/>
        </w:rPr>
        <w:t>, considerando los Asegurados un alto nivel de Propensión a renovar sus pólizas con la misma Compañía de Seguros.</w:t>
      </w:r>
    </w:p>
    <w:p w14:paraId="219D155B" w14:textId="5B32654F" w:rsidR="00502565" w:rsidRPr="00467AB9" w:rsidRDefault="00502565" w:rsidP="00A875E2">
      <w:pPr>
        <w:spacing w:before="280" w:after="280" w:line="240" w:lineRule="auto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BB8E065" wp14:editId="018E4C58">
            <wp:extent cx="5239385" cy="2375647"/>
            <wp:effectExtent l="0" t="0" r="0" b="0"/>
            <wp:docPr id="134446349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F4F1A03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1BF0674F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61057A50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6482931E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0591D94C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787D38D8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0C94C6EB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0C9628BF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2E9C7B0C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7FB96294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70592BD3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38FAB358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305C4DBA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12DAACE6" w14:textId="77777777" w:rsidR="00A12611" w:rsidRDefault="00A12611" w:rsidP="00A12611">
      <w:pPr>
        <w:spacing w:before="280" w:after="280" w:line="240" w:lineRule="auto"/>
        <w:rPr>
          <w:b/>
          <w:bCs/>
        </w:rPr>
      </w:pPr>
    </w:p>
    <w:p w14:paraId="0FB22449" w14:textId="601EA632" w:rsidR="00A12611" w:rsidRDefault="00A12611" w:rsidP="00A12611">
      <w:pPr>
        <w:spacing w:before="280" w:after="280" w:line="240" w:lineRule="auto"/>
        <w:rPr>
          <w:b/>
          <w:bCs/>
        </w:rPr>
      </w:pPr>
      <w:r>
        <w:rPr>
          <w:b/>
          <w:bCs/>
        </w:rPr>
        <w:t xml:space="preserve">Grado de Satisfacción general y NPS (Net </w:t>
      </w:r>
      <w:proofErr w:type="spellStart"/>
      <w:r>
        <w:rPr>
          <w:b/>
          <w:bCs/>
        </w:rPr>
        <w:t>Promoter</w:t>
      </w:r>
      <w:proofErr w:type="spellEnd"/>
      <w:r>
        <w:rPr>
          <w:b/>
          <w:bCs/>
        </w:rPr>
        <w:t xml:space="preserve"> Score):</w:t>
      </w:r>
    </w:p>
    <w:p w14:paraId="4AA068C8" w14:textId="6F0994B0" w:rsidR="005F767A" w:rsidRDefault="005F767A" w:rsidP="00A12611">
      <w:pPr>
        <w:spacing w:before="280" w:after="280" w:line="240" w:lineRule="auto"/>
        <w:rPr>
          <w:b/>
          <w:bCs/>
        </w:rPr>
      </w:pPr>
      <w:r>
        <w:rPr>
          <w:b/>
          <w:bCs/>
        </w:rPr>
        <w:t>El rango más distintivo del año es la mejora en los índices de Satisfacción cómo también del NPS (grado de recomendación), sobre todo este último incrementándose más de 20 puntos porcentuales.</w:t>
      </w:r>
    </w:p>
    <w:p w14:paraId="78E6BF11" w14:textId="733194DB" w:rsidR="00A12611" w:rsidRDefault="005F767A" w:rsidP="00A12611">
      <w:pPr>
        <w:spacing w:before="280" w:after="280" w:line="240" w:lineRule="auto"/>
        <w:rPr>
          <w:b/>
          <w:bCs/>
        </w:rPr>
      </w:pPr>
      <w:r w:rsidRPr="005F767A">
        <w:rPr>
          <w:b/>
          <w:bCs/>
        </w:rPr>
        <w:drawing>
          <wp:inline distT="0" distB="0" distL="0" distR="0" wp14:anchorId="50288114" wp14:editId="41CE3091">
            <wp:extent cx="5400040" cy="3086735"/>
            <wp:effectExtent l="0" t="0" r="0" b="0"/>
            <wp:docPr id="1118071243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071243" name="Imagen 1" descr="Interfaz de usuario gráfic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C9DDC" w14:textId="603F7BF1" w:rsidR="00A12611" w:rsidRPr="00A12611" w:rsidRDefault="00A12611" w:rsidP="00A12611">
      <w:pPr>
        <w:spacing w:before="280" w:after="280" w:line="240" w:lineRule="auto"/>
        <w:rPr>
          <w:rFonts w:asciiTheme="minorHAnsi" w:hAnsiTheme="minorHAnsi" w:cstheme="minorHAnsi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2B3A6" wp14:editId="7732E51B">
                <wp:simplePos x="0" y="0"/>
                <wp:positionH relativeFrom="column">
                  <wp:posOffset>-1080135</wp:posOffset>
                </wp:positionH>
                <wp:positionV relativeFrom="paragraph">
                  <wp:posOffset>-8443595</wp:posOffset>
                </wp:positionV>
                <wp:extent cx="9906000" cy="3638988"/>
                <wp:effectExtent l="0" t="0" r="0" b="0"/>
                <wp:wrapNone/>
                <wp:docPr id="23" name="2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3638988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</wps:spPr>
                      <wps:txbx>
                        <w:txbxContent>
                          <w:p w14:paraId="12D83196" w14:textId="77777777" w:rsidR="00A12611" w:rsidRDefault="00A12611" w:rsidP="00A12611">
                            <w:pPr>
                              <w:spacing w:line="264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El Mercado Asegurador </w:t>
                            </w:r>
                          </w:p>
                          <w:p w14:paraId="0AF2F188" w14:textId="77777777" w:rsidR="00A12611" w:rsidRDefault="00A12611" w:rsidP="00A12611">
                            <w:pPr>
                              <w:spacing w:line="264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  <w:t>MEJORA SUS NIVELES DE SATISFACCION Y NPS EN 2025</w:t>
                            </w:r>
                          </w:p>
                          <w:p w14:paraId="25289E10" w14:textId="77777777" w:rsidR="00A12611" w:rsidRDefault="00A12611" w:rsidP="00A12611">
                            <w:pPr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  <w:t>EL PROMEDIO DE SATISFACCION GLOBAL CRECE 3 DECIMAS</w:t>
                            </w:r>
                          </w:p>
                          <w:p w14:paraId="2244935F" w14:textId="77777777" w:rsidR="00A12611" w:rsidRDefault="00A12611" w:rsidP="00A12611">
                            <w:pPr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PASANDO DE 7,6 EN 2024 A 7,9 EN 2025</w:t>
                            </w:r>
                          </w:p>
                          <w:p w14:paraId="3BD668E5" w14:textId="77777777" w:rsidR="00A12611" w:rsidRDefault="00A12611" w:rsidP="00A126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  <w:t>Quebrando la evolución declinante de 2023 y 2024</w:t>
                            </w:r>
                          </w:p>
                          <w:p w14:paraId="2B82FAAD" w14:textId="77777777" w:rsidR="00A12611" w:rsidRDefault="00A12611" w:rsidP="00A126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  <w:t>Volviendo a posicionarse en línea con la media histórica de la serie (2013 – 2025)</w:t>
                            </w:r>
                          </w:p>
                          <w:p w14:paraId="5AD77E63" w14:textId="77777777" w:rsidR="00A12611" w:rsidRDefault="00A12611" w:rsidP="00A12611">
                            <w:pPr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  <w:t>EL INDICE DE RECOMENDACION MEJORA 10 PUNTOS</w:t>
                            </w:r>
                          </w:p>
                          <w:p w14:paraId="18187701" w14:textId="77777777" w:rsidR="00A12611" w:rsidRDefault="00A12611" w:rsidP="00A12611">
                            <w:pPr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PASANDO DE 32 PUNTOS EN 2024 A 42 PUNTOS EN 2025</w:t>
                            </w:r>
                          </w:p>
                          <w:p w14:paraId="7D9A2F6F" w14:textId="77777777" w:rsidR="00A12611" w:rsidRDefault="00A12611" w:rsidP="00A1261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  <w:t>Gracias a una creciente incidencia de promotores</w:t>
                            </w:r>
                          </w:p>
                          <w:p w14:paraId="1F1ABFDE" w14:textId="77777777" w:rsidR="00A12611" w:rsidRDefault="00A12611" w:rsidP="00A1261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/>
                                <w:kern w:val="24"/>
                                <w:lang w:val="es-ES"/>
                              </w:rPr>
                              <w:t>Volviendo a posicionarse por encima de la media histórica de la serie (38 puntos)</w:t>
                            </w:r>
                          </w:p>
                        </w:txbxContent>
                      </wps:txbx>
                      <wps:bodyPr wrap="square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2B3A6" id="_x0000_t202" coordsize="21600,21600" o:spt="202" path="m,l,21600r21600,l21600,xe">
                <v:stroke joinstyle="miter"/>
                <v:path gradientshapeok="t" o:connecttype="rect"/>
              </v:shapetype>
              <v:shape id="22 CuadroTexto" o:spid="_x0000_s1026" type="#_x0000_t202" style="position:absolute;margin-left:-85.05pt;margin-top:-664.85pt;width:780pt;height:28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eLnAEAACMDAAAOAAAAZHJzL2Uyb0RvYy54bWysUk1v2zAMvQ/YfxB0X+Q2gJEYcYqtRXcZ&#10;tgHdfoAiS7EASdQoJXb+/SglTYrtNuxCix9+5Hvk5mH2jh01Jguh53eLhjMdFAw27Hv+88fzhxVn&#10;KcswSAdB9/ykE3/Yvn+3mWKn72EEN2hkBBJSN8WejznHToikRu1lWkDUgZIG0MtMLu7FgHIidO/E&#10;fdO0YgIcIoLSKVH06Zzk24pvjFb5mzFJZ+Z6TrPlarHaXbFiu5HdHmUcrbqMIf9hCi9toKZXqCeZ&#10;JTug/QvKW4WQwOSFAi/AGKt05UBs7po/2LyMMurKhcRJ8SpT+n+w6uvxJX5HludPMNMCiyBTTF2i&#10;YOEzG/TlS5MyypOEp6tses5MUXC9btqmoZSi3LJdrtarVcERt98jpvxZg2fl0XOkvVS55PFLyufS&#10;15LSLYGzw7N1rjq43z06ZEdZdtgsl217QX9TJm5Dl1eed/OFyQ6GExGcaMc9T78OEjVnMqgR6AxU&#10;xlfnMdezKB0DfDxkMLZOVuDOGMSoOLSJyu1yNWXVb/1adbvt7W8AAAD//wMAUEsDBBQABgAIAAAA&#10;IQCITYUD5gAAABABAAAPAAAAZHJzL2Rvd25yZXYueG1sTI9NT4NAEIbvJv6HzZh4Me1Cm0JBlkZN&#10;TLQmmqKm1y07ApGdJexC8d+7nPQ2H0/eeSbbTbplI/a2MSQgXAbAkEqjGqoEfLw/LrbArJOkZGsI&#10;BfyghV1+eZHJVJkzHXAsXMV8CNlUCqid61LObVmjlnZpOiS/+zK9ls63fcVVL88+XLd8FQQR17Ih&#10;f6GWHT7UWH4XgxYwbvbH5PB5ExbH4WW4r55fn/o3FOL6arq7BeZwcn8wzPpeHXLvdDIDKctaAYsw&#10;DkLPztV6lcTAZmi9TRJgJz+MN1EEPM/4/0fyXwAAAP//AwBQSwECLQAUAAYACAAAACEAtoM4kv4A&#10;AADhAQAAEwAAAAAAAAAAAAAAAAAAAAAAW0NvbnRlbnRfVHlwZXNdLnhtbFBLAQItABQABgAIAAAA&#10;IQA4/SH/1gAAAJQBAAALAAAAAAAAAAAAAAAAAC8BAABfcmVscy8ucmVsc1BLAQItABQABgAIAAAA&#10;IQBxKJeLnAEAACMDAAAOAAAAAAAAAAAAAAAAAC4CAABkcnMvZTJvRG9jLnhtbFBLAQItABQABgAI&#10;AAAAIQCITYUD5gAAABABAAAPAAAAAAAAAAAAAAAAAPYDAABkcnMvZG93bnJldi54bWxQSwUGAAAA&#10;AAQABADzAAAACQUAAAAA&#10;" fillcolor="#036" stroked="f">
                <v:textbox>
                  <w:txbxContent>
                    <w:p w14:paraId="12D83196" w14:textId="77777777" w:rsidR="00A12611" w:rsidRDefault="00A12611" w:rsidP="00A12611">
                      <w:pPr>
                        <w:spacing w:line="264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sz w:val="32"/>
                          <w:szCs w:val="32"/>
                          <w:lang w:val="es-ES"/>
                        </w:rPr>
                        <w:t xml:space="preserve">El Mercado Asegurador </w:t>
                      </w:r>
                    </w:p>
                    <w:p w14:paraId="0AF2F188" w14:textId="77777777" w:rsidR="00A12611" w:rsidRDefault="00A12611" w:rsidP="00A12611">
                      <w:pPr>
                        <w:spacing w:line="264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  <w:t>MEJORA SUS NIVELES DE SATISFACCION Y NPS EN 2025</w:t>
                      </w:r>
                    </w:p>
                    <w:p w14:paraId="25289E10" w14:textId="77777777" w:rsidR="00A12611" w:rsidRDefault="00A12611" w:rsidP="00A12611">
                      <w:pPr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  <w:t>EL PROMEDIO DE SATISFACCION GLOBAL CRECE 3 DECIMAS</w:t>
                      </w:r>
                    </w:p>
                    <w:p w14:paraId="2244935F" w14:textId="77777777" w:rsidR="00A12611" w:rsidRDefault="00A12611" w:rsidP="00A12611">
                      <w:pPr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sz w:val="28"/>
                          <w:szCs w:val="28"/>
                          <w:lang w:val="es-ES"/>
                        </w:rPr>
                        <w:t>PASANDO DE 7,6 EN 2024 A 7,9 EN 2025</w:t>
                      </w:r>
                    </w:p>
                    <w:p w14:paraId="3BD668E5" w14:textId="77777777" w:rsidR="00A12611" w:rsidRDefault="00A12611" w:rsidP="00A126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  <w:t>Quebrando la evolución declinante de 2023 y 2024</w:t>
                      </w:r>
                    </w:p>
                    <w:p w14:paraId="2B82FAAD" w14:textId="77777777" w:rsidR="00A12611" w:rsidRDefault="00A12611" w:rsidP="00A126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  <w:t>Volviendo a posicionarse en línea con la media histórica de la serie (2013 – 2025)</w:t>
                      </w:r>
                    </w:p>
                    <w:p w14:paraId="5AD77E63" w14:textId="77777777" w:rsidR="00A12611" w:rsidRDefault="00A12611" w:rsidP="00A12611">
                      <w:pPr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  <w:t>EL INDICE DE RECOMENDACION MEJORA 10 PUNTOS</w:t>
                      </w:r>
                    </w:p>
                    <w:p w14:paraId="18187701" w14:textId="77777777" w:rsidR="00A12611" w:rsidRDefault="00A12611" w:rsidP="00A12611">
                      <w:pPr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sz w:val="28"/>
                          <w:szCs w:val="28"/>
                          <w:lang w:val="es-ES"/>
                        </w:rPr>
                        <w:t>PASANDO DE 32 PUNTOS EN 2024 A 42 PUNTOS EN 2025</w:t>
                      </w:r>
                    </w:p>
                    <w:p w14:paraId="7D9A2F6F" w14:textId="77777777" w:rsidR="00A12611" w:rsidRDefault="00A12611" w:rsidP="00A1261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  <w:t>Gracias a una creciente incidencia de promotores</w:t>
                      </w:r>
                    </w:p>
                    <w:p w14:paraId="1F1ABFDE" w14:textId="77777777" w:rsidR="00A12611" w:rsidRDefault="00A12611" w:rsidP="00A1261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/>
                          <w:kern w:val="24"/>
                          <w:lang w:val="es-ES"/>
                        </w:rPr>
                        <w:t>Volviendo a posicionarse por encima de la media histórica de la serie (38 puntos)</w:t>
                      </w:r>
                    </w:p>
                  </w:txbxContent>
                </v:textbox>
              </v:shape>
            </w:pict>
          </mc:Fallback>
        </mc:AlternateContent>
      </w:r>
    </w:p>
    <w:p w14:paraId="2B925F19" w14:textId="64E23960" w:rsidR="00A12611" w:rsidRDefault="00A12611" w:rsidP="00A875E2">
      <w:pPr>
        <w:spacing w:before="280" w:after="280" w:line="240" w:lineRule="auto"/>
        <w:jc w:val="both"/>
        <w:rPr>
          <w:rFonts w:asciiTheme="minorHAnsi" w:hAnsiTheme="minorHAnsi" w:cstheme="minorHAnsi"/>
          <w:i/>
        </w:rPr>
      </w:pPr>
    </w:p>
    <w:p w14:paraId="0D52C45C" w14:textId="77777777" w:rsidR="00A12611" w:rsidRDefault="00A12611" w:rsidP="00A875E2">
      <w:pPr>
        <w:spacing w:before="280" w:after="280" w:line="240" w:lineRule="auto"/>
        <w:jc w:val="both"/>
        <w:rPr>
          <w:rFonts w:asciiTheme="minorHAnsi" w:hAnsiTheme="minorHAnsi" w:cstheme="minorHAnsi"/>
          <w:i/>
        </w:rPr>
      </w:pPr>
    </w:p>
    <w:p w14:paraId="2E7EBDE2" w14:textId="77777777" w:rsidR="00A12611" w:rsidRDefault="00A12611" w:rsidP="00A875E2">
      <w:pPr>
        <w:spacing w:before="280" w:after="280" w:line="240" w:lineRule="auto"/>
        <w:jc w:val="both"/>
        <w:rPr>
          <w:rFonts w:asciiTheme="minorHAnsi" w:hAnsiTheme="minorHAnsi" w:cstheme="minorHAnsi"/>
          <w:i/>
        </w:rPr>
      </w:pPr>
    </w:p>
    <w:p w14:paraId="5D30DDD8" w14:textId="3B43AE33" w:rsidR="00245644" w:rsidRPr="00467AB9" w:rsidRDefault="00000000" w:rsidP="00A875E2">
      <w:pPr>
        <w:spacing w:before="280" w:after="280" w:line="240" w:lineRule="auto"/>
        <w:jc w:val="both"/>
        <w:rPr>
          <w:rFonts w:asciiTheme="minorHAnsi" w:hAnsiTheme="minorHAnsi" w:cstheme="minorHAnsi"/>
        </w:rPr>
      </w:pPr>
      <w:r w:rsidRPr="00467AB9">
        <w:rPr>
          <w:rFonts w:asciiTheme="minorHAnsi" w:hAnsiTheme="minorHAnsi" w:cstheme="minorHAnsi"/>
          <w:i/>
        </w:rPr>
        <w:t xml:space="preserve">Se agradece su difusión. </w:t>
      </w:r>
    </w:p>
    <w:p w14:paraId="36BB81E8" w14:textId="77777777" w:rsidR="00245644" w:rsidRDefault="00000000" w:rsidP="00A875E2">
      <w:pPr>
        <w:shd w:val="clear" w:color="auto" w:fill="FFFFFF"/>
        <w:spacing w:before="280" w:after="28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Ante cualquier consulta de prensa, no dude en contactarse con nosotros.</w:t>
      </w:r>
    </w:p>
    <w:p w14:paraId="52738456" w14:textId="77777777" w:rsidR="00245644" w:rsidRDefault="00000000" w:rsidP="00A875E2">
      <w:pPr>
        <w:shd w:val="clear" w:color="auto" w:fill="FFFFFF"/>
        <w:spacing w:before="280" w:after="280" w:line="240" w:lineRule="auto"/>
        <w:jc w:val="both"/>
      </w:pPr>
      <w:r>
        <w:rPr>
          <w:sz w:val="24"/>
          <w:szCs w:val="24"/>
        </w:rPr>
        <w:t>prensa@dalessio.com.ar</w:t>
      </w:r>
    </w:p>
    <w:p w14:paraId="34A8B607" w14:textId="77777777" w:rsidR="00245644" w:rsidRDefault="00245644">
      <w:pPr>
        <w:rPr>
          <w:b/>
          <w:color w:val="1F497D"/>
          <w:sz w:val="40"/>
          <w:szCs w:val="40"/>
        </w:rPr>
      </w:pPr>
    </w:p>
    <w:sectPr w:rsidR="00245644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0FDA" w14:textId="77777777" w:rsidR="00F275DE" w:rsidRDefault="00F275DE">
      <w:pPr>
        <w:spacing w:after="0" w:line="240" w:lineRule="auto"/>
      </w:pPr>
      <w:r>
        <w:separator/>
      </w:r>
    </w:p>
  </w:endnote>
  <w:endnote w:type="continuationSeparator" w:id="0">
    <w:p w14:paraId="5839A574" w14:textId="77777777" w:rsidR="00F275DE" w:rsidRDefault="00F2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tis SansSerif St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0F5" w14:textId="77777777" w:rsidR="00245644" w:rsidRDefault="0024564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f"/>
      <w:tblW w:w="9770" w:type="dxa"/>
      <w:tblInd w:w="-70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222"/>
      <w:gridCol w:w="516"/>
      <w:gridCol w:w="516"/>
      <w:gridCol w:w="516"/>
    </w:tblGrid>
    <w:tr w:rsidR="00245644" w14:paraId="44CA2AB0" w14:textId="77777777">
      <w:tc>
        <w:tcPr>
          <w:tcW w:w="8222" w:type="dxa"/>
        </w:tcPr>
        <w:p w14:paraId="3CB15F3E" w14:textId="77777777" w:rsidR="00245644" w:rsidRDefault="00000000">
          <w:pPr>
            <w:tabs>
              <w:tab w:val="center" w:pos="4513"/>
              <w:tab w:val="right" w:pos="9026"/>
            </w:tabs>
            <w:jc w:val="center"/>
            <w:rPr>
              <w:rFonts w:ascii="Rotis SansSerif Std" w:eastAsia="Rotis SansSerif Std" w:hAnsi="Rotis SansSerif Std" w:cs="Rotis SansSerif Std"/>
              <w:color w:val="0080FF"/>
            </w:rPr>
          </w:pPr>
          <w:r>
            <w:rPr>
              <w:rFonts w:ascii="Rotis SansSerif Std" w:eastAsia="Rotis SansSerif Std" w:hAnsi="Rotis SansSerif Std" w:cs="Rotis SansSerif Std"/>
              <w:noProof/>
              <w:color w:val="0080FF"/>
            </w:rPr>
            <w:drawing>
              <wp:inline distT="0" distB="0" distL="0" distR="0" wp14:anchorId="21A8934A" wp14:editId="5B274656">
                <wp:extent cx="6502400" cy="190500"/>
                <wp:effectExtent l="0" t="0" r="0" b="0"/>
                <wp:docPr id="25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240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" w:type="dxa"/>
        </w:tcPr>
        <w:p w14:paraId="7B9FA141" w14:textId="77777777" w:rsidR="00245644" w:rsidRDefault="00000000">
          <w:pPr>
            <w:tabs>
              <w:tab w:val="center" w:pos="4513"/>
              <w:tab w:val="right" w:pos="9026"/>
            </w:tabs>
            <w:jc w:val="right"/>
          </w:pPr>
          <w:r>
            <w:rPr>
              <w:noProof/>
            </w:rPr>
            <w:drawing>
              <wp:inline distT="0" distB="0" distL="0" distR="0" wp14:anchorId="0CC243E3" wp14:editId="13B30B7F">
                <wp:extent cx="183163" cy="183163"/>
                <wp:effectExtent l="0" t="0" r="0" b="0"/>
                <wp:docPr id="25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163" cy="1831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" w:type="dxa"/>
        </w:tcPr>
        <w:p w14:paraId="35FA26F6" w14:textId="77777777" w:rsidR="00245644" w:rsidRDefault="00000000">
          <w:pPr>
            <w:tabs>
              <w:tab w:val="center" w:pos="4513"/>
              <w:tab w:val="right" w:pos="9026"/>
            </w:tabs>
            <w:jc w:val="right"/>
          </w:pPr>
          <w:r>
            <w:rPr>
              <w:noProof/>
            </w:rPr>
            <w:drawing>
              <wp:inline distT="0" distB="0" distL="0" distR="0" wp14:anchorId="56CCCB2C" wp14:editId="099B2E21">
                <wp:extent cx="183162" cy="183162"/>
                <wp:effectExtent l="0" t="0" r="0" b="0"/>
                <wp:docPr id="26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162" cy="1831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" w:type="dxa"/>
        </w:tcPr>
        <w:p w14:paraId="58B57805" w14:textId="77777777" w:rsidR="00245644" w:rsidRDefault="00000000">
          <w:pPr>
            <w:tabs>
              <w:tab w:val="center" w:pos="4513"/>
              <w:tab w:val="right" w:pos="9026"/>
            </w:tabs>
            <w:jc w:val="right"/>
          </w:pPr>
          <w:r>
            <w:rPr>
              <w:noProof/>
            </w:rPr>
            <w:drawing>
              <wp:inline distT="0" distB="0" distL="0" distR="0" wp14:anchorId="214564FB" wp14:editId="7E3FC579">
                <wp:extent cx="183160" cy="183160"/>
                <wp:effectExtent l="0" t="0" r="0" b="0"/>
                <wp:docPr id="26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160" cy="183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AD477BC" w14:textId="77777777" w:rsidR="00245644" w:rsidRDefault="002456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7C76" w14:textId="77777777" w:rsidR="00F275DE" w:rsidRDefault="00F275DE">
      <w:pPr>
        <w:spacing w:after="0" w:line="240" w:lineRule="auto"/>
      </w:pPr>
      <w:r>
        <w:separator/>
      </w:r>
    </w:p>
  </w:footnote>
  <w:footnote w:type="continuationSeparator" w:id="0">
    <w:p w14:paraId="18FA040F" w14:textId="77777777" w:rsidR="00F275DE" w:rsidRDefault="00F2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10C4" w14:textId="77777777" w:rsidR="002456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F3338B" wp14:editId="240CFF3D">
          <wp:simplePos x="0" y="0"/>
          <wp:positionH relativeFrom="column">
            <wp:posOffset>4463415</wp:posOffset>
          </wp:positionH>
          <wp:positionV relativeFrom="paragraph">
            <wp:posOffset>-1875</wp:posOffset>
          </wp:positionV>
          <wp:extent cx="1362075" cy="857250"/>
          <wp:effectExtent l="0" t="0" r="0" b="0"/>
          <wp:wrapTopAndBottom distT="0" distB="0"/>
          <wp:docPr id="25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595"/>
    <w:multiLevelType w:val="hybridMultilevel"/>
    <w:tmpl w:val="43C2E514"/>
    <w:lvl w:ilvl="0" w:tplc="F72E4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80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84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24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E2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4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84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EA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40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836E8B"/>
    <w:multiLevelType w:val="hybridMultilevel"/>
    <w:tmpl w:val="D20CCE9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8F22E5"/>
    <w:multiLevelType w:val="hybridMultilevel"/>
    <w:tmpl w:val="BE08ABAA"/>
    <w:lvl w:ilvl="0" w:tplc="07545E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9CA5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8AA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A09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2AA1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E8C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881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A22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F4A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F7346"/>
    <w:multiLevelType w:val="hybridMultilevel"/>
    <w:tmpl w:val="247C2D3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1E3C50"/>
    <w:multiLevelType w:val="hybridMultilevel"/>
    <w:tmpl w:val="2C1CAE28"/>
    <w:lvl w:ilvl="0" w:tplc="A24CDD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2DB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A8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BE8F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094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C88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5F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E78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C62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1F36"/>
    <w:multiLevelType w:val="hybridMultilevel"/>
    <w:tmpl w:val="0742AD9E"/>
    <w:lvl w:ilvl="0" w:tplc="4B9AB93E">
      <w:start w:val="19"/>
      <w:numFmt w:val="bullet"/>
      <w:lvlText w:val="-"/>
      <w:lvlJc w:val="left"/>
      <w:pPr>
        <w:ind w:left="46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5E6D3EB2"/>
    <w:multiLevelType w:val="hybridMultilevel"/>
    <w:tmpl w:val="EE0A7692"/>
    <w:lvl w:ilvl="0" w:tplc="1BE0A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8C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AD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C7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08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26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4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89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63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1D48F0"/>
    <w:multiLevelType w:val="hybridMultilevel"/>
    <w:tmpl w:val="392CA4D6"/>
    <w:lvl w:ilvl="0" w:tplc="E920F61C">
      <w:start w:val="19"/>
      <w:numFmt w:val="bullet"/>
      <w:lvlText w:val="-"/>
      <w:lvlJc w:val="left"/>
      <w:pPr>
        <w:ind w:left="468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993025695">
    <w:abstractNumId w:val="6"/>
  </w:num>
  <w:num w:numId="2" w16cid:durableId="1116607901">
    <w:abstractNumId w:val="2"/>
  </w:num>
  <w:num w:numId="3" w16cid:durableId="754715816">
    <w:abstractNumId w:val="0"/>
  </w:num>
  <w:num w:numId="4" w16cid:durableId="1279407991">
    <w:abstractNumId w:val="4"/>
  </w:num>
  <w:num w:numId="5" w16cid:durableId="2087878484">
    <w:abstractNumId w:val="3"/>
  </w:num>
  <w:num w:numId="6" w16cid:durableId="556014345">
    <w:abstractNumId w:val="1"/>
  </w:num>
  <w:num w:numId="7" w16cid:durableId="1266959664">
    <w:abstractNumId w:val="7"/>
  </w:num>
  <w:num w:numId="8" w16cid:durableId="155651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44"/>
    <w:rsid w:val="000779F9"/>
    <w:rsid w:val="000C3B54"/>
    <w:rsid w:val="000D2D84"/>
    <w:rsid w:val="000F3DF3"/>
    <w:rsid w:val="00165B2F"/>
    <w:rsid w:val="001C6506"/>
    <w:rsid w:val="00245644"/>
    <w:rsid w:val="00253B46"/>
    <w:rsid w:val="003A32A6"/>
    <w:rsid w:val="003D1C4B"/>
    <w:rsid w:val="00467AB9"/>
    <w:rsid w:val="00473E22"/>
    <w:rsid w:val="00502565"/>
    <w:rsid w:val="0051669D"/>
    <w:rsid w:val="005752A5"/>
    <w:rsid w:val="005822AA"/>
    <w:rsid w:val="005F767A"/>
    <w:rsid w:val="005F775F"/>
    <w:rsid w:val="006C0109"/>
    <w:rsid w:val="007132C1"/>
    <w:rsid w:val="00721F76"/>
    <w:rsid w:val="008E496C"/>
    <w:rsid w:val="0090364D"/>
    <w:rsid w:val="009E521C"/>
    <w:rsid w:val="00A12611"/>
    <w:rsid w:val="00A241D9"/>
    <w:rsid w:val="00A875E2"/>
    <w:rsid w:val="00A91911"/>
    <w:rsid w:val="00BF08AE"/>
    <w:rsid w:val="00C62D75"/>
    <w:rsid w:val="00DF2770"/>
    <w:rsid w:val="00E61711"/>
    <w:rsid w:val="00F2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C6AD"/>
  <w15:docId w15:val="{86E6D0DB-BDFA-43F7-9E9F-6839C4D2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C7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997"/>
  </w:style>
  <w:style w:type="paragraph" w:styleId="Piedepgina">
    <w:name w:val="footer"/>
    <w:basedOn w:val="Normal"/>
    <w:link w:val="PiedepginaCar"/>
    <w:uiPriority w:val="99"/>
    <w:unhideWhenUsed/>
    <w:rsid w:val="000C7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997"/>
  </w:style>
  <w:style w:type="table" w:styleId="Tablaconcuadrcula">
    <w:name w:val="Table Grid"/>
    <w:basedOn w:val="Tablanormal"/>
    <w:uiPriority w:val="59"/>
    <w:unhideWhenUsed/>
    <w:rsid w:val="00D9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A3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11A3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11A3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E46"/>
    <w:rPr>
      <w:rFonts w:ascii="Tahoma" w:hAnsi="Tahoma" w:cs="Tahoma"/>
      <w:sz w:val="16"/>
      <w:szCs w:val="16"/>
    </w:rPr>
  </w:style>
  <w:style w:type="table" w:customStyle="1" w:styleId="a">
    <w:basedOn w:val="TableNormalf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f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7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7EC"/>
    <w:rPr>
      <w:b/>
      <w:bCs/>
      <w:sz w:val="20"/>
      <w:szCs w:val="20"/>
    </w:rPr>
  </w:style>
  <w:style w:type="table" w:customStyle="1" w:styleId="ab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261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6859827834135E-3"/>
          <c:y val="0.32804568951715979"/>
          <c:w val="0.98121028940449606"/>
          <c:h val="0.49877439546051705"/>
        </c:manualLayout>
      </c:layout>
      <c:lineChart>
        <c:grouping val="standard"/>
        <c:varyColors val="0"/>
        <c:ser>
          <c:idx val="0"/>
          <c:order val="0"/>
          <c:tx>
            <c:strRef>
              <c:f>'90'!$S$4</c:f>
              <c:strCache>
                <c:ptCount val="1"/>
                <c:pt idx="0">
                  <c:v>2024</c:v>
                </c:pt>
              </c:strCache>
            </c:strRef>
          </c:tx>
          <c:spPr>
            <a:ln w="58458">
              <a:solidFill>
                <a:schemeClr val="bg1">
                  <a:lumMod val="75000"/>
                </a:schemeClr>
              </a:solidFill>
              <a:prstDash val="solid"/>
            </a:ln>
          </c:spPr>
          <c:marker>
            <c:symbol val="diamond"/>
            <c:size val="15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bg1">
                    <a:lumMod val="75000"/>
                  </a:schemeClr>
                </a:solidFill>
                <a:prstDash val="solid"/>
              </a:ln>
            </c:spPr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6F7-4604-909C-63D0E505F01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26F7-4604-909C-63D0E505F01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26F7-4604-909C-63D0E505F01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26F7-4604-909C-63D0E505F01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26F7-4604-909C-63D0E505F01F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26F7-4604-909C-63D0E505F01F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26F7-4604-909C-63D0E505F01F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26F7-4604-909C-63D0E505F01F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26F7-4604-909C-63D0E505F01F}"/>
              </c:ext>
            </c:extLst>
          </c:dPt>
          <c:dLbls>
            <c:dLbl>
              <c:idx val="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6F7-4604-909C-63D0E505F01F}"/>
                </c:ext>
              </c:extLst>
            </c:dLbl>
            <c:dLbl>
              <c:idx val="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6F7-4604-909C-63D0E505F01F}"/>
                </c:ext>
              </c:extLst>
            </c:dLbl>
            <c:dLbl>
              <c:idx val="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26F7-4604-909C-63D0E505F01F}"/>
                </c:ext>
              </c:extLst>
            </c:dLbl>
            <c:dLbl>
              <c:idx val="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26F7-4604-909C-63D0E505F01F}"/>
                </c:ext>
              </c:extLst>
            </c:dLbl>
            <c:dLbl>
              <c:idx val="4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26F7-4604-909C-63D0E505F01F}"/>
                </c:ext>
              </c:extLst>
            </c:dLbl>
            <c:dLbl>
              <c:idx val="5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26F7-4604-909C-63D0E505F01F}"/>
                </c:ext>
              </c:extLst>
            </c:dLbl>
            <c:dLbl>
              <c:idx val="6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26F7-4604-909C-63D0E505F01F}"/>
                </c:ext>
              </c:extLst>
            </c:dLbl>
            <c:dLbl>
              <c:idx val="7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26F7-4604-909C-63D0E505F01F}"/>
                </c:ext>
              </c:extLst>
            </c:dLbl>
            <c:dLbl>
              <c:idx val="8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26F7-4604-909C-63D0E505F01F}"/>
                </c:ext>
              </c:extLst>
            </c:dLbl>
            <c:dLbl>
              <c:idx val="9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26F7-4604-909C-63D0E505F01F}"/>
                </c:ext>
              </c:extLst>
            </c:dLbl>
            <c:dLbl>
              <c:idx val="1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26F7-4604-909C-63D0E505F01F}"/>
                </c:ext>
              </c:extLst>
            </c:dLbl>
            <c:dLbl>
              <c:idx val="1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26F7-4604-909C-63D0E505F01F}"/>
                </c:ext>
              </c:extLst>
            </c:dLbl>
            <c:dLbl>
              <c:idx val="1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26F7-4604-909C-63D0E505F01F}"/>
                </c:ext>
              </c:extLst>
            </c:dLbl>
            <c:dLbl>
              <c:idx val="1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26F7-4604-909C-63D0E505F01F}"/>
                </c:ext>
              </c:extLst>
            </c:dLbl>
            <c:spPr>
              <a:noFill/>
              <a:ln w="389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 i="0" u="none" strike="noStrike" baseline="0">
                    <a:solidFill>
                      <a:schemeClr val="bg1">
                        <a:lumMod val="50000"/>
                      </a:schemeClr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'90'!$R$5:$R$12</c:f>
              <c:strCache>
                <c:ptCount val="8"/>
                <c:pt idx="0">
                  <c:v>Velocidad de contacto con el inspector</c:v>
                </c:pt>
                <c:pt idx="1">
                  <c:v>Cumplimiento de la fecha de visita pactada por el inspector</c:v>
                </c:pt>
                <c:pt idx="2">
                  <c:v>Calidad del asesoramiento brindado por el inspector</c:v>
                </c:pt>
                <c:pt idx="3">
                  <c:v>Agilidad en la atención en los talleres</c:v>
                </c:pt>
                <c:pt idx="4">
                  <c:v>Calidad del asesoramiento del personal del taller en el desarrollo de su tarea</c:v>
                </c:pt>
                <c:pt idx="5">
                  <c:v>La cordialidad y contención del personal que recepcionó el pedido de la grúa</c:v>
                </c:pt>
                <c:pt idx="6">
                  <c:v>El cumplimiento de los tiempos prometidos para la llegada de la grúa</c:v>
                </c:pt>
                <c:pt idx="7">
                  <c:v>La calidad de la atención del personal de la grúa</c:v>
                </c:pt>
              </c:strCache>
            </c:strRef>
          </c:cat>
          <c:val>
            <c:numRef>
              <c:f>'90'!$S$5:$S$12</c:f>
              <c:numCache>
                <c:formatCode>General</c:formatCode>
                <c:ptCount val="8"/>
                <c:pt idx="0">
                  <c:v>7.3</c:v>
                </c:pt>
                <c:pt idx="1">
                  <c:v>7.5</c:v>
                </c:pt>
                <c:pt idx="2">
                  <c:v>7.4</c:v>
                </c:pt>
                <c:pt idx="3">
                  <c:v>7.5</c:v>
                </c:pt>
                <c:pt idx="4">
                  <c:v>7.7</c:v>
                </c:pt>
                <c:pt idx="5">
                  <c:v>7.3</c:v>
                </c:pt>
                <c:pt idx="6">
                  <c:v>6.3</c:v>
                </c:pt>
                <c:pt idx="7">
                  <c:v>7.9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E-26F7-4604-909C-63D0E505F01F}"/>
            </c:ext>
          </c:extLst>
        </c:ser>
        <c:ser>
          <c:idx val="1"/>
          <c:order val="1"/>
          <c:tx>
            <c:strRef>
              <c:f>'90'!$T$4</c:f>
              <c:strCache>
                <c:ptCount val="1"/>
                <c:pt idx="0">
                  <c:v>2025</c:v>
                </c:pt>
              </c:strCache>
            </c:strRef>
          </c:tx>
          <c:spPr>
            <a:ln w="58458">
              <a:solidFill>
                <a:srgbClr val="0066CC"/>
              </a:solidFill>
              <a:prstDash val="solid"/>
            </a:ln>
          </c:spPr>
          <c:marker>
            <c:symbol val="x"/>
            <c:size val="12"/>
            <c:spPr>
              <a:solidFill>
                <a:srgbClr val="0066CC"/>
              </a:solidFill>
              <a:ln>
                <a:solidFill>
                  <a:srgbClr val="0066CC"/>
                </a:solidFill>
                <a:prstDash val="solid"/>
              </a:ln>
            </c:spPr>
          </c:marker>
          <c:dLbls>
            <c:dLbl>
              <c:idx val="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26F7-4604-909C-63D0E505F01F}"/>
                </c:ext>
              </c:extLst>
            </c:dLbl>
            <c:dLbl>
              <c:idx val="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26F7-4604-909C-63D0E505F01F}"/>
                </c:ext>
              </c:extLst>
            </c:dLbl>
            <c:dLbl>
              <c:idx val="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26F7-4604-909C-63D0E505F01F}"/>
                </c:ext>
              </c:extLst>
            </c:dLbl>
            <c:dLbl>
              <c:idx val="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26F7-4604-909C-63D0E505F01F}"/>
                </c:ext>
              </c:extLst>
            </c:dLbl>
            <c:dLbl>
              <c:idx val="4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3-26F7-4604-909C-63D0E505F01F}"/>
                </c:ext>
              </c:extLst>
            </c:dLbl>
            <c:dLbl>
              <c:idx val="5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26F7-4604-909C-63D0E505F01F}"/>
                </c:ext>
              </c:extLst>
            </c:dLbl>
            <c:dLbl>
              <c:idx val="6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5-26F7-4604-909C-63D0E505F01F}"/>
                </c:ext>
              </c:extLst>
            </c:dLbl>
            <c:dLbl>
              <c:idx val="7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26F7-4604-909C-63D0E505F01F}"/>
                </c:ext>
              </c:extLst>
            </c:dLbl>
            <c:dLbl>
              <c:idx val="8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7-26F7-4604-909C-63D0E505F01F}"/>
                </c:ext>
              </c:extLst>
            </c:dLbl>
            <c:dLbl>
              <c:idx val="9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26F7-4604-909C-63D0E505F01F}"/>
                </c:ext>
              </c:extLst>
            </c:dLbl>
            <c:dLbl>
              <c:idx val="1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9-26F7-4604-909C-63D0E505F01F}"/>
                </c:ext>
              </c:extLst>
            </c:dLbl>
            <c:dLbl>
              <c:idx val="1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26F7-4604-909C-63D0E505F01F}"/>
                </c:ext>
              </c:extLst>
            </c:dLbl>
            <c:dLbl>
              <c:idx val="1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B-26F7-4604-909C-63D0E505F01F}"/>
                </c:ext>
              </c:extLst>
            </c:dLbl>
            <c:dLbl>
              <c:idx val="1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C-26F7-4604-909C-63D0E505F01F}"/>
                </c:ext>
              </c:extLst>
            </c:dLbl>
            <c:spPr>
              <a:noFill/>
              <a:ln w="389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 i="0" u="none" strike="noStrike" baseline="0">
                    <a:solidFill>
                      <a:srgbClr val="0066CC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'90'!$R$5:$R$12</c:f>
              <c:strCache>
                <c:ptCount val="8"/>
                <c:pt idx="0">
                  <c:v>Velocidad de contacto con el inspector</c:v>
                </c:pt>
                <c:pt idx="1">
                  <c:v>Cumplimiento de la fecha de visita pactada por el inspector</c:v>
                </c:pt>
                <c:pt idx="2">
                  <c:v>Calidad del asesoramiento brindado por el inspector</c:v>
                </c:pt>
                <c:pt idx="3">
                  <c:v>Agilidad en la atención en los talleres</c:v>
                </c:pt>
                <c:pt idx="4">
                  <c:v>Calidad del asesoramiento del personal del taller en el desarrollo de su tarea</c:v>
                </c:pt>
                <c:pt idx="5">
                  <c:v>La cordialidad y contención del personal que recepcionó el pedido de la grúa</c:v>
                </c:pt>
                <c:pt idx="6">
                  <c:v>El cumplimiento de los tiempos prometidos para la llegada de la grúa</c:v>
                </c:pt>
                <c:pt idx="7">
                  <c:v>La calidad de la atención del personal de la grúa</c:v>
                </c:pt>
              </c:strCache>
            </c:strRef>
          </c:cat>
          <c:val>
            <c:numRef>
              <c:f>'90'!$T$5:$T$12</c:f>
              <c:numCache>
                <c:formatCode>General</c:formatCode>
                <c:ptCount val="8"/>
                <c:pt idx="0">
                  <c:v>7.7</c:v>
                </c:pt>
                <c:pt idx="1">
                  <c:v>7.8</c:v>
                </c:pt>
                <c:pt idx="2">
                  <c:v>7.7</c:v>
                </c:pt>
                <c:pt idx="3">
                  <c:v>7.9</c:v>
                </c:pt>
                <c:pt idx="4" formatCode="0.0">
                  <c:v>8</c:v>
                </c:pt>
                <c:pt idx="5" formatCode="0.0">
                  <c:v>8</c:v>
                </c:pt>
                <c:pt idx="6">
                  <c:v>7.2</c:v>
                </c:pt>
                <c:pt idx="7">
                  <c:v>8.4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D-26F7-4604-909C-63D0E505F0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hiLowLines>
          <c:spPr>
            <a:ln w="4871">
              <a:noFill/>
              <a:prstDash val="lgDash"/>
            </a:ln>
          </c:spPr>
        </c:hiLowLines>
        <c:marker val="1"/>
        <c:smooth val="0"/>
        <c:axId val="-1651737600"/>
        <c:axId val="-1651729984"/>
      </c:lineChart>
      <c:catAx>
        <c:axId val="-1651737600"/>
        <c:scaling>
          <c:orientation val="minMax"/>
        </c:scaling>
        <c:delete val="0"/>
        <c:axPos val="t"/>
        <c:numFmt formatCode="General" sourceLinked="1"/>
        <c:majorTickMark val="out"/>
        <c:minorTickMark val="none"/>
        <c:tickLblPos val="low"/>
        <c:spPr>
          <a:solidFill>
            <a:schemeClr val="bg1"/>
          </a:solidFill>
          <a:ln>
            <a:noFill/>
          </a:ln>
        </c:spPr>
        <c:txPr>
          <a:bodyPr/>
          <a:lstStyle/>
          <a:p>
            <a:pPr>
              <a:defRPr sz="750" b="1" baseline="0"/>
            </a:pPr>
            <a:endParaRPr lang="en-US"/>
          </a:p>
        </c:txPr>
        <c:crossAx val="-1651729984"/>
        <c:crosses val="max"/>
        <c:auto val="1"/>
        <c:lblAlgn val="ctr"/>
        <c:lblOffset val="100"/>
        <c:noMultiLvlLbl val="0"/>
      </c:catAx>
      <c:valAx>
        <c:axId val="-1651729984"/>
        <c:scaling>
          <c:orientation val="minMax"/>
          <c:max val="8.4"/>
          <c:min val="5.8"/>
        </c:scaling>
        <c:delete val="1"/>
        <c:axPos val="l"/>
        <c:numFmt formatCode="General" sourceLinked="1"/>
        <c:majorTickMark val="out"/>
        <c:minorTickMark val="none"/>
        <c:tickLblPos val="low"/>
        <c:crossAx val="-1651737600"/>
        <c:crosses val="autoZero"/>
        <c:crossBetween val="between"/>
        <c:majorUnit val="8.3000000000000007"/>
        <c:minorUnit val="0.3"/>
      </c:valAx>
      <c:spPr>
        <a:noFill/>
        <a:ln w="3897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73773470623864E-3"/>
          <c:y val="0.11107863081679174"/>
          <c:w val="0.98121028940449606"/>
          <c:h val="0.62099437409682345"/>
        </c:manualLayout>
      </c:layout>
      <c:lineChart>
        <c:grouping val="standard"/>
        <c:varyColors val="0"/>
        <c:ser>
          <c:idx val="0"/>
          <c:order val="0"/>
          <c:spPr>
            <a:ln w="58458">
              <a:solidFill>
                <a:srgbClr val="339966"/>
              </a:solidFill>
              <a:prstDash val="solid"/>
            </a:ln>
          </c:spPr>
          <c:marker>
            <c:symbol val="diamond"/>
            <c:size val="15"/>
            <c:spPr>
              <a:solidFill>
                <a:srgbClr val="339966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C5D-4EC2-A05D-B88E9856C3D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C5D-4EC2-A05D-B88E9856C3D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DC5D-4EC2-A05D-B88E9856C3D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DC5D-4EC2-A05D-B88E9856C3D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DC5D-4EC2-A05D-B88E9856C3D0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DC5D-4EC2-A05D-B88E9856C3D0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DC5D-4EC2-A05D-B88E9856C3D0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DC5D-4EC2-A05D-B88E9856C3D0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DC5D-4EC2-A05D-B88E9856C3D0}"/>
              </c:ext>
            </c:extLst>
          </c:dPt>
          <c:dLbls>
            <c:dLbl>
              <c:idx val="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DC5D-4EC2-A05D-B88E9856C3D0}"/>
                </c:ext>
              </c:extLst>
            </c:dLbl>
            <c:dLbl>
              <c:idx val="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C5D-4EC2-A05D-B88E9856C3D0}"/>
                </c:ext>
              </c:extLst>
            </c:dLbl>
            <c:dLbl>
              <c:idx val="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C5D-4EC2-A05D-B88E9856C3D0}"/>
                </c:ext>
              </c:extLst>
            </c:dLbl>
            <c:dLbl>
              <c:idx val="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C5D-4EC2-A05D-B88E9856C3D0}"/>
                </c:ext>
              </c:extLst>
            </c:dLbl>
            <c:dLbl>
              <c:idx val="4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DC5D-4EC2-A05D-B88E9856C3D0}"/>
                </c:ext>
              </c:extLst>
            </c:dLbl>
            <c:dLbl>
              <c:idx val="5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DC5D-4EC2-A05D-B88E9856C3D0}"/>
                </c:ext>
              </c:extLst>
            </c:dLbl>
            <c:dLbl>
              <c:idx val="6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DC5D-4EC2-A05D-B88E9856C3D0}"/>
                </c:ext>
              </c:extLst>
            </c:dLbl>
            <c:dLbl>
              <c:idx val="7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DC5D-4EC2-A05D-B88E9856C3D0}"/>
                </c:ext>
              </c:extLst>
            </c:dLbl>
            <c:dLbl>
              <c:idx val="8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DC5D-4EC2-A05D-B88E9856C3D0}"/>
                </c:ext>
              </c:extLst>
            </c:dLbl>
            <c:dLbl>
              <c:idx val="9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DC5D-4EC2-A05D-B88E9856C3D0}"/>
                </c:ext>
              </c:extLst>
            </c:dLbl>
            <c:dLbl>
              <c:idx val="1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DC5D-4EC2-A05D-B88E9856C3D0}"/>
                </c:ext>
              </c:extLst>
            </c:dLbl>
            <c:dLbl>
              <c:idx val="1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DC5D-4EC2-A05D-B88E9856C3D0}"/>
                </c:ext>
              </c:extLst>
            </c:dLbl>
            <c:dLbl>
              <c:idx val="1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DC5D-4EC2-A05D-B88E9856C3D0}"/>
                </c:ext>
              </c:extLst>
            </c:dLbl>
            <c:dLbl>
              <c:idx val="1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3399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DC5D-4EC2-A05D-B88E9856C3D0}"/>
                </c:ext>
              </c:extLst>
            </c:dLbl>
            <c:spPr>
              <a:noFill/>
              <a:ln w="389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 i="0" u="none" strike="noStrike" baseline="0">
                    <a:solidFill>
                      <a:srgbClr val="339966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'90'!$R$5:$R$12</c:f>
              <c:strCache>
                <c:ptCount val="8"/>
                <c:pt idx="0">
                  <c:v>Velocidad de contacto con el inspector</c:v>
                </c:pt>
                <c:pt idx="1">
                  <c:v>Cumplimiento de la fecha de visita pactada por el inspector</c:v>
                </c:pt>
                <c:pt idx="2">
                  <c:v>Calidad del asesoramiento brindado por el inspector</c:v>
                </c:pt>
                <c:pt idx="3">
                  <c:v>Agilidad en la atención en los talleres</c:v>
                </c:pt>
                <c:pt idx="4">
                  <c:v>Calidad del asesoramiento del personal del taller en el desarrollo de su tarea</c:v>
                </c:pt>
                <c:pt idx="5">
                  <c:v>Cordialidad y contención del personal que recepcionó el pedido de la asistencia / grúa</c:v>
                </c:pt>
                <c:pt idx="6">
                  <c:v>Cumplimiento de los tiempos prometidos para la llegada de la grúa / móvil</c:v>
                </c:pt>
                <c:pt idx="7">
                  <c:v>Calidad de la atención del personal de la grúa / móvil</c:v>
                </c:pt>
              </c:strCache>
            </c:strRef>
          </c:cat>
          <c:val>
            <c:numRef>
              <c:f>'90'!$S$5:$S$12</c:f>
              <c:numCache>
                <c:formatCode>_-* #,##0.0_-;\-* #,##0.0_-;_-* "-"??_-;_-@_-</c:formatCode>
                <c:ptCount val="8"/>
                <c:pt idx="0">
                  <c:v>8.6</c:v>
                </c:pt>
                <c:pt idx="1">
                  <c:v>8.8000000000000007</c:v>
                </c:pt>
                <c:pt idx="2">
                  <c:v>8.6</c:v>
                </c:pt>
                <c:pt idx="3">
                  <c:v>8.6999999999999993</c:v>
                </c:pt>
                <c:pt idx="4">
                  <c:v>8.6999999999999993</c:v>
                </c:pt>
                <c:pt idx="5">
                  <c:v>8.6999999999999993</c:v>
                </c:pt>
                <c:pt idx="6">
                  <c:v>8.3000000000000007</c:v>
                </c:pt>
                <c:pt idx="7">
                  <c:v>8.9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E-DC5D-4EC2-A05D-B88E9856C3D0}"/>
            </c:ext>
          </c:extLst>
        </c:ser>
        <c:ser>
          <c:idx val="1"/>
          <c:order val="1"/>
          <c:spPr>
            <a:ln w="58458">
              <a:solidFill>
                <a:srgbClr val="161645"/>
              </a:solidFill>
              <a:prstDash val="solid"/>
            </a:ln>
          </c:spPr>
          <c:marker>
            <c:symbol val="x"/>
            <c:size val="12"/>
            <c:spPr>
              <a:solidFill>
                <a:srgbClr val="003366"/>
              </a:solidFill>
              <a:ln>
                <a:solidFill>
                  <a:srgbClr val="003366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914102564102564E-2"/>
                  <c:y val="3.600883538405588E-2"/>
                </c:manualLayout>
              </c:layout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C5D-4EC2-A05D-B88E9856C3D0}"/>
                </c:ext>
              </c:extLst>
            </c:dLbl>
            <c:dLbl>
              <c:idx val="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DC5D-4EC2-A05D-B88E9856C3D0}"/>
                </c:ext>
              </c:extLst>
            </c:dLbl>
            <c:dLbl>
              <c:idx val="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DC5D-4EC2-A05D-B88E9856C3D0}"/>
                </c:ext>
              </c:extLst>
            </c:dLbl>
            <c:dLbl>
              <c:idx val="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DC5D-4EC2-A05D-B88E9856C3D0}"/>
                </c:ext>
              </c:extLst>
            </c:dLbl>
            <c:dLbl>
              <c:idx val="4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3-DC5D-4EC2-A05D-B88E9856C3D0}"/>
                </c:ext>
              </c:extLst>
            </c:dLbl>
            <c:dLbl>
              <c:idx val="5"/>
              <c:layout>
                <c:manualLayout>
                  <c:x val="-2.6576923076923172E-2"/>
                  <c:y val="-4.6373002025961264E-2"/>
                </c:manualLayout>
              </c:layout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C5D-4EC2-A05D-B88E9856C3D0}"/>
                </c:ext>
              </c:extLst>
            </c:dLbl>
            <c:dLbl>
              <c:idx val="6"/>
              <c:layout>
                <c:manualLayout>
                  <c:x val="-2.7858974358974359E-2"/>
                  <c:y val="-5.1687959278220438E-2"/>
                </c:manualLayout>
              </c:layout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C5D-4EC2-A05D-B88E9856C3D0}"/>
                </c:ext>
              </c:extLst>
            </c:dLbl>
            <c:dLbl>
              <c:idx val="7"/>
              <c:layout>
                <c:manualLayout>
                  <c:x val="-2.7858974358974359E-2"/>
                  <c:y val="-4.1323792636315054E-2"/>
                </c:manualLayout>
              </c:layout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C5D-4EC2-A05D-B88E9856C3D0}"/>
                </c:ext>
              </c:extLst>
            </c:dLbl>
            <c:dLbl>
              <c:idx val="8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C5D-4EC2-A05D-B88E9856C3D0}"/>
                </c:ext>
              </c:extLst>
            </c:dLbl>
            <c:dLbl>
              <c:idx val="9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C5D-4EC2-A05D-B88E9856C3D0}"/>
                </c:ext>
              </c:extLst>
            </c:dLbl>
            <c:dLbl>
              <c:idx val="1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9-DC5D-4EC2-A05D-B88E9856C3D0}"/>
                </c:ext>
              </c:extLst>
            </c:dLbl>
            <c:dLbl>
              <c:idx val="1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DC5D-4EC2-A05D-B88E9856C3D0}"/>
                </c:ext>
              </c:extLst>
            </c:dLbl>
            <c:dLbl>
              <c:idx val="1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B-DC5D-4EC2-A05D-B88E9856C3D0}"/>
                </c:ext>
              </c:extLst>
            </c:dLbl>
            <c:dLbl>
              <c:idx val="1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3366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C-DC5D-4EC2-A05D-B88E9856C3D0}"/>
                </c:ext>
              </c:extLst>
            </c:dLbl>
            <c:spPr>
              <a:noFill/>
              <a:ln w="389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 i="0" u="none" strike="noStrike" baseline="0">
                    <a:solidFill>
                      <a:srgbClr val="003366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'90'!$R$5:$R$12</c:f>
              <c:strCache>
                <c:ptCount val="8"/>
                <c:pt idx="0">
                  <c:v>Velocidad de contacto con el inspector</c:v>
                </c:pt>
                <c:pt idx="1">
                  <c:v>Cumplimiento de la fecha de visita pactada por el inspector</c:v>
                </c:pt>
                <c:pt idx="2">
                  <c:v>Calidad del asesoramiento brindado por el inspector</c:v>
                </c:pt>
                <c:pt idx="3">
                  <c:v>Agilidad en la atención en los talleres</c:v>
                </c:pt>
                <c:pt idx="4">
                  <c:v>Calidad del asesoramiento del personal del taller en el desarrollo de su tarea</c:v>
                </c:pt>
                <c:pt idx="5">
                  <c:v>Cordialidad y contención del personal que recepcionó el pedido de la asistencia / grúa</c:v>
                </c:pt>
                <c:pt idx="6">
                  <c:v>Cumplimiento de los tiempos prometidos para la llegada de la grúa / móvil</c:v>
                </c:pt>
                <c:pt idx="7">
                  <c:v>Calidad de la atención del personal de la grúa / móvil</c:v>
                </c:pt>
              </c:strCache>
            </c:strRef>
          </c:cat>
          <c:val>
            <c:numRef>
              <c:f>'90'!$T$5:$T$12</c:f>
              <c:numCache>
                <c:formatCode>General</c:formatCode>
                <c:ptCount val="8"/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D-DC5D-4EC2-A05D-B88E9856C3D0}"/>
            </c:ext>
          </c:extLst>
        </c:ser>
        <c:ser>
          <c:idx val="2"/>
          <c:order val="2"/>
          <c:spPr>
            <a:ln w="57150"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 w="57150">
                <a:solidFill>
                  <a:schemeClr val="tx1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solidFill>
                      <a:schemeClr val="tx1"/>
                    </a:solidFill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'90'!$R$5:$R$12</c:f>
              <c:strCache>
                <c:ptCount val="8"/>
                <c:pt idx="0">
                  <c:v>Velocidad de contacto con el inspector</c:v>
                </c:pt>
                <c:pt idx="1">
                  <c:v>Cumplimiento de la fecha de visita pactada por el inspector</c:v>
                </c:pt>
                <c:pt idx="2">
                  <c:v>Calidad del asesoramiento brindado por el inspector</c:v>
                </c:pt>
                <c:pt idx="3">
                  <c:v>Agilidad en la atención en los talleres</c:v>
                </c:pt>
                <c:pt idx="4">
                  <c:v>Calidad del asesoramiento del personal del taller en el desarrollo de su tarea</c:v>
                </c:pt>
                <c:pt idx="5">
                  <c:v>Cordialidad y contención del personal que recepcionó el pedido de la asistencia / grúa</c:v>
                </c:pt>
                <c:pt idx="6">
                  <c:v>Cumplimiento de los tiempos prometidos para la llegada de la grúa / móvil</c:v>
                </c:pt>
                <c:pt idx="7">
                  <c:v>Calidad de la atención del personal de la grúa / móvil</c:v>
                </c:pt>
              </c:strCache>
            </c:strRef>
          </c:cat>
          <c:val>
            <c:numRef>
              <c:f>'90'!$U$5:$U$12</c:f>
              <c:numCache>
                <c:formatCode>#,##0.0</c:formatCode>
                <c:ptCount val="8"/>
                <c:pt idx="0">
                  <c:v>6.7</c:v>
                </c:pt>
                <c:pt idx="1">
                  <c:v>6.6</c:v>
                </c:pt>
                <c:pt idx="2">
                  <c:v>6.7</c:v>
                </c:pt>
                <c:pt idx="3">
                  <c:v>6.7</c:v>
                </c:pt>
                <c:pt idx="4">
                  <c:v>6.8</c:v>
                </c:pt>
                <c:pt idx="5">
                  <c:v>6.8</c:v>
                </c:pt>
                <c:pt idx="6">
                  <c:v>5.7</c:v>
                </c:pt>
                <c:pt idx="7">
                  <c:v>7.6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E-DC5D-4EC2-A05D-B88E9856C3D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hiLowLines>
          <c:spPr>
            <a:ln w="4871">
              <a:noFill/>
              <a:prstDash val="lgDash"/>
            </a:ln>
          </c:spPr>
        </c:hiLowLines>
        <c:marker val="1"/>
        <c:smooth val="0"/>
        <c:axId val="-619858096"/>
        <c:axId val="-619856464"/>
      </c:lineChart>
      <c:catAx>
        <c:axId val="-619858096"/>
        <c:scaling>
          <c:orientation val="minMax"/>
        </c:scaling>
        <c:delete val="0"/>
        <c:axPos val="t"/>
        <c:numFmt formatCode="General" sourceLinked="1"/>
        <c:majorTickMark val="out"/>
        <c:minorTickMark val="none"/>
        <c:tickLblPos val="low"/>
        <c:spPr>
          <a:solidFill>
            <a:schemeClr val="bg1"/>
          </a:solidFill>
          <a:ln>
            <a:noFill/>
          </a:ln>
        </c:spPr>
        <c:txPr>
          <a:bodyPr/>
          <a:lstStyle/>
          <a:p>
            <a:pPr>
              <a:defRPr sz="750" b="1" baseline="0"/>
            </a:pPr>
            <a:endParaRPr lang="en-US"/>
          </a:p>
        </c:txPr>
        <c:crossAx val="-619856464"/>
        <c:crosses val="max"/>
        <c:auto val="1"/>
        <c:lblAlgn val="ctr"/>
        <c:lblOffset val="100"/>
        <c:noMultiLvlLbl val="0"/>
      </c:catAx>
      <c:valAx>
        <c:axId val="-619856464"/>
        <c:scaling>
          <c:orientation val="minMax"/>
          <c:max val="9.8000000000000007"/>
          <c:min val="4.5"/>
        </c:scaling>
        <c:delete val="1"/>
        <c:axPos val="l"/>
        <c:numFmt formatCode="_-* #,##0.0_-;\-* #,##0.0_-;_-* &quot;-&quot;??_-;_-@_-" sourceLinked="1"/>
        <c:majorTickMark val="out"/>
        <c:minorTickMark val="none"/>
        <c:tickLblPos val="nextTo"/>
        <c:crossAx val="-619858096"/>
        <c:crosses val="autoZero"/>
        <c:crossBetween val="between"/>
        <c:majorUnit val="8.3000000000000007"/>
        <c:minorUnit val="0.3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057487989093643E-2"/>
          <c:y val="4.7869921371462704E-2"/>
          <c:w val="0.98121028940449606"/>
          <c:h val="0.77895016360621405"/>
        </c:manualLayout>
      </c:layout>
      <c:lineChart>
        <c:grouping val="standard"/>
        <c:varyColors val="0"/>
        <c:ser>
          <c:idx val="0"/>
          <c:order val="0"/>
          <c:spPr>
            <a:ln w="58458">
              <a:solidFill>
                <a:schemeClr val="bg1">
                  <a:lumMod val="75000"/>
                </a:schemeClr>
              </a:solidFill>
              <a:prstDash val="solid"/>
            </a:ln>
          </c:spPr>
          <c:marker>
            <c:symbol val="diamond"/>
            <c:size val="15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bg1">
                    <a:lumMod val="75000"/>
                  </a:schemeClr>
                </a:solidFill>
                <a:prstDash val="solid"/>
              </a:ln>
            </c:spPr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5F7-4EEF-B3AC-84D04E6F833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5F7-4EEF-B3AC-84D04E6F833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75F7-4EEF-B3AC-84D04E6F833C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75F7-4EEF-B3AC-84D04E6F833C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75F7-4EEF-B3AC-84D04E6F833C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75F7-4EEF-B3AC-84D04E6F833C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75F7-4EEF-B3AC-84D04E6F833C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75F7-4EEF-B3AC-84D04E6F833C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75F7-4EEF-B3AC-84D04E6F833C}"/>
              </c:ext>
            </c:extLst>
          </c:dPt>
          <c:dLbls>
            <c:dLbl>
              <c:idx val="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75F7-4EEF-B3AC-84D04E6F833C}"/>
                </c:ext>
              </c:extLst>
            </c:dLbl>
            <c:dLbl>
              <c:idx val="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5F7-4EEF-B3AC-84D04E6F833C}"/>
                </c:ext>
              </c:extLst>
            </c:dLbl>
            <c:dLbl>
              <c:idx val="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75F7-4EEF-B3AC-84D04E6F833C}"/>
                </c:ext>
              </c:extLst>
            </c:dLbl>
            <c:dLbl>
              <c:idx val="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5F7-4EEF-B3AC-84D04E6F833C}"/>
                </c:ext>
              </c:extLst>
            </c:dLbl>
            <c:dLbl>
              <c:idx val="4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75F7-4EEF-B3AC-84D04E6F833C}"/>
                </c:ext>
              </c:extLst>
            </c:dLbl>
            <c:dLbl>
              <c:idx val="5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75F7-4EEF-B3AC-84D04E6F833C}"/>
                </c:ext>
              </c:extLst>
            </c:dLbl>
            <c:dLbl>
              <c:idx val="6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75F7-4EEF-B3AC-84D04E6F833C}"/>
                </c:ext>
              </c:extLst>
            </c:dLbl>
            <c:dLbl>
              <c:idx val="7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75F7-4EEF-B3AC-84D04E6F833C}"/>
                </c:ext>
              </c:extLst>
            </c:dLbl>
            <c:dLbl>
              <c:idx val="8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75F7-4EEF-B3AC-84D04E6F833C}"/>
                </c:ext>
              </c:extLst>
            </c:dLbl>
            <c:dLbl>
              <c:idx val="9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75F7-4EEF-B3AC-84D04E6F833C}"/>
                </c:ext>
              </c:extLst>
            </c:dLbl>
            <c:dLbl>
              <c:idx val="1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75F7-4EEF-B3AC-84D04E6F833C}"/>
                </c:ext>
              </c:extLst>
            </c:dLbl>
            <c:dLbl>
              <c:idx val="1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75F7-4EEF-B3AC-84D04E6F833C}"/>
                </c:ext>
              </c:extLst>
            </c:dLbl>
            <c:dLbl>
              <c:idx val="1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75F7-4EEF-B3AC-84D04E6F833C}"/>
                </c:ext>
              </c:extLst>
            </c:dLbl>
            <c:dLbl>
              <c:idx val="1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chemeClr val="bg1">
                          <a:lumMod val="50000"/>
                        </a:schemeClr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75F7-4EEF-B3AC-84D04E6F833C}"/>
                </c:ext>
              </c:extLst>
            </c:dLbl>
            <c:spPr>
              <a:noFill/>
              <a:ln w="389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 i="0" u="none" strike="noStrike" baseline="0">
                    <a:solidFill>
                      <a:schemeClr val="bg1">
                        <a:lumMod val="50000"/>
                      </a:schemeClr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'90'!$R$5:$R$9</c:f>
              <c:strCache>
                <c:ptCount val="5"/>
                <c:pt idx="0">
                  <c:v>Agilidad para contactarse con nosotros</c:v>
                </c:pt>
                <c:pt idx="1">
                  <c:v>La calidad del asesoramiento del personal de nuestra compañía que atendió su siniestro</c:v>
                </c:pt>
                <c:pt idx="2">
                  <c:v>La cordialidad y contención del personal que recepcionó el pedido de asistencia</c:v>
                </c:pt>
                <c:pt idx="3">
                  <c:v>El cumplimiento de los tiempos prometidos para el envío de la asistencia</c:v>
                </c:pt>
                <c:pt idx="4">
                  <c:v>La calidad de la atención del personal de asistencia que concurrió a su hogar o comercio</c:v>
                </c:pt>
              </c:strCache>
            </c:strRef>
          </c:cat>
          <c:val>
            <c:numRef>
              <c:f>'90'!$S$5:$S$9</c:f>
              <c:numCache>
                <c:formatCode>#,##0.0</c:formatCode>
                <c:ptCount val="5"/>
                <c:pt idx="0">
                  <c:v>7.9</c:v>
                </c:pt>
                <c:pt idx="1">
                  <c:v>8</c:v>
                </c:pt>
                <c:pt idx="2">
                  <c:v>8.1999999999999993</c:v>
                </c:pt>
                <c:pt idx="3">
                  <c:v>7.7</c:v>
                </c:pt>
                <c:pt idx="4">
                  <c:v>7.9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E-75F7-4EEF-B3AC-84D04E6F833C}"/>
            </c:ext>
          </c:extLst>
        </c:ser>
        <c:ser>
          <c:idx val="1"/>
          <c:order val="1"/>
          <c:spPr>
            <a:ln w="58458">
              <a:solidFill>
                <a:srgbClr val="0066CC"/>
              </a:solidFill>
              <a:prstDash val="solid"/>
            </a:ln>
          </c:spPr>
          <c:marker>
            <c:symbol val="x"/>
            <c:size val="12"/>
            <c:spPr>
              <a:solidFill>
                <a:srgbClr val="0066CC"/>
              </a:solidFill>
              <a:ln>
                <a:solidFill>
                  <a:srgbClr val="0066CC"/>
                </a:solidFill>
                <a:prstDash val="solid"/>
              </a:ln>
            </c:spPr>
          </c:marker>
          <c:dLbls>
            <c:dLbl>
              <c:idx val="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75F7-4EEF-B3AC-84D04E6F833C}"/>
                </c:ext>
              </c:extLst>
            </c:dLbl>
            <c:dLbl>
              <c:idx val="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75F7-4EEF-B3AC-84D04E6F833C}"/>
                </c:ext>
              </c:extLst>
            </c:dLbl>
            <c:dLbl>
              <c:idx val="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75F7-4EEF-B3AC-84D04E6F833C}"/>
                </c:ext>
              </c:extLst>
            </c:dLbl>
            <c:dLbl>
              <c:idx val="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75F7-4EEF-B3AC-84D04E6F833C}"/>
                </c:ext>
              </c:extLst>
            </c:dLbl>
            <c:dLbl>
              <c:idx val="4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3-75F7-4EEF-B3AC-84D04E6F833C}"/>
                </c:ext>
              </c:extLst>
            </c:dLbl>
            <c:dLbl>
              <c:idx val="5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75F7-4EEF-B3AC-84D04E6F833C}"/>
                </c:ext>
              </c:extLst>
            </c:dLbl>
            <c:dLbl>
              <c:idx val="6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5-75F7-4EEF-B3AC-84D04E6F833C}"/>
                </c:ext>
              </c:extLst>
            </c:dLbl>
            <c:dLbl>
              <c:idx val="7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75F7-4EEF-B3AC-84D04E6F833C}"/>
                </c:ext>
              </c:extLst>
            </c:dLbl>
            <c:dLbl>
              <c:idx val="8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7-75F7-4EEF-B3AC-84D04E6F833C}"/>
                </c:ext>
              </c:extLst>
            </c:dLbl>
            <c:dLbl>
              <c:idx val="9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75F7-4EEF-B3AC-84D04E6F833C}"/>
                </c:ext>
              </c:extLst>
            </c:dLbl>
            <c:dLbl>
              <c:idx val="10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9-75F7-4EEF-B3AC-84D04E6F833C}"/>
                </c:ext>
              </c:extLst>
            </c:dLbl>
            <c:dLbl>
              <c:idx val="11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75F7-4EEF-B3AC-84D04E6F833C}"/>
                </c:ext>
              </c:extLst>
            </c:dLbl>
            <c:dLbl>
              <c:idx val="12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B-75F7-4EEF-B3AC-84D04E6F833C}"/>
                </c:ext>
              </c:extLst>
            </c:dLbl>
            <c:dLbl>
              <c:idx val="13"/>
              <c:spPr>
                <a:noFill/>
                <a:ln w="38972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66CC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C-75F7-4EEF-B3AC-84D04E6F833C}"/>
                </c:ext>
              </c:extLst>
            </c:dLbl>
            <c:spPr>
              <a:noFill/>
              <a:ln w="389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 i="0" u="none" strike="noStrike" baseline="0">
                    <a:solidFill>
                      <a:srgbClr val="0066CC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'90'!$R$5:$R$9</c:f>
              <c:strCache>
                <c:ptCount val="5"/>
                <c:pt idx="0">
                  <c:v>Agilidad para contactarse con nosotros</c:v>
                </c:pt>
                <c:pt idx="1">
                  <c:v>La calidad del asesoramiento del personal de nuestra compañía que atendió su siniestro</c:v>
                </c:pt>
                <c:pt idx="2">
                  <c:v>La cordialidad y contención del personal que recepcionó el pedido de asistencia</c:v>
                </c:pt>
                <c:pt idx="3">
                  <c:v>El cumplimiento de los tiempos prometidos para el envío de la asistencia</c:v>
                </c:pt>
                <c:pt idx="4">
                  <c:v>La calidad de la atención del personal de asistencia que concurrió a su hogar o comercio</c:v>
                </c:pt>
              </c:strCache>
            </c:strRef>
          </c:cat>
          <c:val>
            <c:numRef>
              <c:f>'90'!$T$5:$T$9</c:f>
              <c:numCache>
                <c:formatCode>#,##0.0</c:formatCode>
                <c:ptCount val="5"/>
                <c:pt idx="0">
                  <c:v>8.1</c:v>
                </c:pt>
                <c:pt idx="1">
                  <c:v>8.1</c:v>
                </c:pt>
                <c:pt idx="2">
                  <c:v>8.1999999999999993</c:v>
                </c:pt>
                <c:pt idx="3">
                  <c:v>7.7</c:v>
                </c:pt>
                <c:pt idx="4">
                  <c:v>7.9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D-75F7-4EEF-B3AC-84D04E6F83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hiLowLines>
          <c:spPr>
            <a:ln w="4871">
              <a:noFill/>
              <a:prstDash val="lgDash"/>
            </a:ln>
          </c:spPr>
        </c:hiLowLines>
        <c:marker val="1"/>
        <c:smooth val="0"/>
        <c:axId val="-1651728896"/>
        <c:axId val="-1651731072"/>
      </c:lineChart>
      <c:catAx>
        <c:axId val="-1651728896"/>
        <c:scaling>
          <c:orientation val="minMax"/>
        </c:scaling>
        <c:delete val="0"/>
        <c:axPos val="t"/>
        <c:numFmt formatCode="General" sourceLinked="1"/>
        <c:majorTickMark val="out"/>
        <c:minorTickMark val="none"/>
        <c:tickLblPos val="low"/>
        <c:spPr>
          <a:solidFill>
            <a:schemeClr val="bg1"/>
          </a:solidFill>
          <a:ln>
            <a:noFill/>
          </a:ln>
        </c:spPr>
        <c:txPr>
          <a:bodyPr/>
          <a:lstStyle/>
          <a:p>
            <a:pPr>
              <a:defRPr sz="1000" b="1"/>
            </a:pPr>
            <a:endParaRPr lang="en-US"/>
          </a:p>
        </c:txPr>
        <c:crossAx val="-1651731072"/>
        <c:crosses val="max"/>
        <c:auto val="1"/>
        <c:lblAlgn val="ctr"/>
        <c:lblOffset val="100"/>
        <c:noMultiLvlLbl val="0"/>
      </c:catAx>
      <c:valAx>
        <c:axId val="-1651731072"/>
        <c:scaling>
          <c:orientation val="minMax"/>
          <c:max val="8.8000000000000007"/>
          <c:min val="7.5"/>
        </c:scaling>
        <c:delete val="1"/>
        <c:axPos val="l"/>
        <c:numFmt formatCode="#,##0.0" sourceLinked="1"/>
        <c:majorTickMark val="out"/>
        <c:minorTickMark val="none"/>
        <c:tickLblPos val="low"/>
        <c:crossAx val="-1651728896"/>
        <c:crosses val="autoZero"/>
        <c:crossBetween val="between"/>
        <c:majorUnit val="8.3000000000000007"/>
        <c:minorUnit val="0.3"/>
      </c:valAx>
      <c:spPr>
        <a:noFill/>
        <a:ln w="3897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529560923528627E-2"/>
          <c:y val="0.16822782661109364"/>
          <c:w val="0.95770171274795124"/>
          <c:h val="0.6878148994580646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6600"/>
            </a:solidFill>
            <a:ln w="34195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3366"/>
              </a:solidFill>
              <a:ln w="34195">
                <a:noFill/>
              </a:ln>
            </c:spPr>
            <c:extLst>
              <c:ext xmlns:c16="http://schemas.microsoft.com/office/drawing/2014/chart" uri="{C3380CC4-5D6E-409C-BE32-E72D297353CC}">
                <c16:uniqueId val="{00000001-B18D-4D0B-B2D2-21ECE21088B9}"/>
              </c:ext>
            </c:extLst>
          </c:dPt>
          <c:dPt>
            <c:idx val="1"/>
            <c:invertIfNegative val="0"/>
            <c:bubble3D val="0"/>
            <c:spPr>
              <a:solidFill>
                <a:srgbClr val="336699"/>
              </a:solidFill>
              <a:ln w="51292">
                <a:solidFill>
                  <a:schemeClr val="bg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B18D-4D0B-B2D2-21ECE21088B9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 w="34195">
                <a:noFill/>
              </a:ln>
            </c:spPr>
            <c:extLst>
              <c:ext xmlns:c16="http://schemas.microsoft.com/office/drawing/2014/chart" uri="{C3380CC4-5D6E-409C-BE32-E72D297353CC}">
                <c16:uniqueId val="{00000005-B18D-4D0B-B2D2-21ECE21088B9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 w="34195">
                <a:noFill/>
              </a:ln>
            </c:spPr>
            <c:extLst>
              <c:ext xmlns:c16="http://schemas.microsoft.com/office/drawing/2014/chart" uri="{C3380CC4-5D6E-409C-BE32-E72D297353CC}">
                <c16:uniqueId val="{00000007-B18D-4D0B-B2D2-21ECE21088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'90'!$R$6:$R$9</c:f>
              <c:strCache>
                <c:ptCount val="4"/>
                <c:pt idx="0">
                  <c:v>Muy probable</c:v>
                </c:pt>
                <c:pt idx="1">
                  <c:v>Algo probable</c:v>
                </c:pt>
                <c:pt idx="2">
                  <c:v>Poco probable</c:v>
                </c:pt>
                <c:pt idx="3">
                  <c:v>Nada probable</c:v>
                </c:pt>
              </c:strCache>
            </c:strRef>
          </c:cat>
          <c:val>
            <c:numRef>
              <c:f>'90'!$S$6:$S$9</c:f>
              <c:numCache>
                <c:formatCode>#,##0%</c:formatCode>
                <c:ptCount val="4"/>
                <c:pt idx="0">
                  <c:v>0.68</c:v>
                </c:pt>
                <c:pt idx="1">
                  <c:v>0.14000000000000001</c:v>
                </c:pt>
                <c:pt idx="2">
                  <c:v>0.08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18D-4D0B-B2D2-21ECE2108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5"/>
        <c:axId val="-1651731616"/>
        <c:axId val="-1651729440"/>
      </c:barChart>
      <c:catAx>
        <c:axId val="-1651731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8549">
            <a:noFill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-1651729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651729440"/>
        <c:scaling>
          <c:orientation val="minMax"/>
          <c:max val="0.75000000000000011"/>
          <c:min val="0"/>
        </c:scaling>
        <c:delete val="1"/>
        <c:axPos val="l"/>
        <c:numFmt formatCode="#,##0%" sourceLinked="1"/>
        <c:majorTickMark val="out"/>
        <c:minorTickMark val="none"/>
        <c:tickLblPos val="nextTo"/>
        <c:crossAx val="-1651731616"/>
        <c:crosses val="autoZero"/>
        <c:crossBetween val="between"/>
        <c:majorUnit val="0.65"/>
        <c:minorUnit val="0.03"/>
      </c:valAx>
      <c:spPr>
        <a:noFill/>
        <a:ln w="3419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55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0.27063</cdr:x>
      <cdr:y>4.20958E-7</cdr:y>
    </cdr:from>
    <cdr:to>
      <cdr:x>0.99154</cdr:x>
      <cdr:y>0.48116</cdr:y>
    </cdr:to>
    <cdr:sp macro="" textlink="">
      <cdr:nvSpPr>
        <cdr:cNvPr id="2" name="Text Box 2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17917" y="1"/>
          <a:ext cx="3777130" cy="1143000"/>
        </a:xfrm>
        <a:prstGeom xmlns:a="http://schemas.openxmlformats.org/drawingml/2006/main" prst="rect">
          <a:avLst/>
        </a:prstGeom>
        <a:solidFill xmlns:a="http://schemas.openxmlformats.org/drawingml/2006/main">
          <a:srgbClr val="003366"/>
        </a:solidFill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wrap="square" anchor="ctr" anchorCtr="0">
          <a:noAutofit/>
        </a:bodyPr>
        <a:lstStyle xmlns:a="http://schemas.openxmlformats.org/drawingml/2006/main">
          <a:defPPr>
            <a:defRPr lang="es-ES"/>
          </a:defPPr>
          <a:lvl1pPr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+mn-cs"/>
            </a:defRPr>
          </a:lvl1pPr>
          <a:lvl2pPr marL="4572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+mn-cs"/>
            </a:defRPr>
          </a:lvl2pPr>
          <a:lvl3pPr marL="9144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+mn-cs"/>
            </a:defRPr>
          </a:lvl3pPr>
          <a:lvl4pPr marL="13716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+mn-cs"/>
            </a:defRPr>
          </a:lvl4pPr>
          <a:lvl5pPr marL="1828800" algn="l" rtl="0" fontAlgn="base">
            <a:spcBef>
              <a:spcPct val="0"/>
            </a:spcBef>
            <a:spcAft>
              <a:spcPct val="0"/>
            </a:spcAft>
            <a:defRPr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+mn-cs"/>
            </a:defRPr>
          </a:lvl9pPr>
        </a:lstStyle>
        <a:p xmlns:a="http://schemas.openxmlformats.org/drawingml/2006/main">
          <a:pPr algn="ctr">
            <a:lnSpc>
              <a:spcPct val="220000"/>
            </a:lnSpc>
          </a:pPr>
          <a:endParaRPr lang="es-ES" altLang="es-AR" sz="1200" b="1" dirty="0">
            <a:solidFill>
              <a:schemeClr val="bg1"/>
            </a:solidFill>
          </a:endParaRPr>
        </a:p>
        <a:p xmlns:a="http://schemas.openxmlformats.org/drawingml/2006/main">
          <a:pPr algn="ctr"/>
          <a:r>
            <a:rPr lang="es-AR" altLang="es-AR" sz="800" b="1" dirty="0">
              <a:solidFill>
                <a:schemeClr val="bg1"/>
              </a:solidFill>
            </a:rPr>
            <a:t>MAYORITARIA</a:t>
          </a:r>
        </a:p>
        <a:p xmlns:a="http://schemas.openxmlformats.org/drawingml/2006/main">
          <a:pPr algn="ctr"/>
          <a:r>
            <a:rPr lang="es-AR" altLang="es-AR" sz="800" b="1" baseline="0" dirty="0">
              <a:solidFill>
                <a:schemeClr val="bg1"/>
              </a:solidFill>
            </a:rPr>
            <a:t>PROPENSION </a:t>
          </a:r>
        </a:p>
        <a:p xmlns:a="http://schemas.openxmlformats.org/drawingml/2006/main">
          <a:pPr algn="ctr"/>
          <a:r>
            <a:rPr lang="es-AR" altLang="es-AR" sz="800" b="1" baseline="0" dirty="0">
              <a:solidFill>
                <a:schemeClr val="bg1"/>
              </a:solidFill>
            </a:rPr>
            <a:t>A LA CONTINUIDAD   </a:t>
          </a:r>
        </a:p>
        <a:p xmlns:a="http://schemas.openxmlformats.org/drawingml/2006/main">
          <a:pPr algn="ctr"/>
          <a:endParaRPr lang="es-AR" altLang="es-AR" sz="800" b="1" baseline="0" dirty="0">
            <a:solidFill>
              <a:schemeClr val="bg1"/>
            </a:solidFill>
          </a:endParaRPr>
        </a:p>
        <a:p xmlns:a="http://schemas.openxmlformats.org/drawingml/2006/main">
          <a:pPr algn="ctr"/>
          <a:r>
            <a:rPr lang="es-AR" altLang="es-AR" sz="800" b="1" baseline="0" dirty="0">
              <a:solidFill>
                <a:schemeClr val="bg1"/>
              </a:solidFill>
            </a:rPr>
            <a:t>LA INCIDENCIA DEL </a:t>
          </a:r>
        </a:p>
        <a:p xmlns:a="http://schemas.openxmlformats.org/drawingml/2006/main">
          <a:pPr algn="ctr"/>
          <a:r>
            <a:rPr lang="es-AR" altLang="es-AR" sz="800" b="1" dirty="0">
              <a:solidFill>
                <a:schemeClr val="bg1"/>
              </a:solidFill>
            </a:rPr>
            <a:t>MUY PROBABLE </a:t>
          </a:r>
        </a:p>
        <a:p xmlns:a="http://schemas.openxmlformats.org/drawingml/2006/main">
          <a:pPr algn="ctr"/>
          <a:r>
            <a:rPr lang="es-AR" altLang="es-AR" sz="800" b="1" dirty="0">
              <a:solidFill>
                <a:schemeClr val="bg1"/>
              </a:solidFill>
            </a:rPr>
            <a:t>CRECE 7 PUNTOS </a:t>
          </a:r>
        </a:p>
        <a:p xmlns:a="http://schemas.openxmlformats.org/drawingml/2006/main">
          <a:pPr algn="ctr"/>
          <a:r>
            <a:rPr lang="es-AR" altLang="es-AR" sz="800" b="1" dirty="0">
              <a:solidFill>
                <a:schemeClr val="bg1"/>
              </a:solidFill>
            </a:rPr>
            <a:t>EN RELACION A 2024</a:t>
          </a:r>
        </a:p>
        <a:p xmlns:a="http://schemas.openxmlformats.org/drawingml/2006/main">
          <a:pPr algn="ctr"/>
          <a:endParaRPr lang="es-AR" altLang="es-AR" sz="1050" b="1" dirty="0">
            <a:solidFill>
              <a:schemeClr val="bg1"/>
            </a:solidFill>
          </a:endParaRPr>
        </a:p>
        <a:p xmlns:a="http://schemas.openxmlformats.org/drawingml/2006/main">
          <a:pPr algn="ctr"/>
          <a:endParaRPr lang="es-ES" altLang="es-AR" sz="1200" b="1" dirty="0">
            <a:solidFill>
              <a:schemeClr val="bg1"/>
            </a:solidFill>
          </a:endParaRPr>
        </a:p>
        <a:p xmlns:a="http://schemas.openxmlformats.org/drawingml/2006/main">
          <a:pPr algn="ctr"/>
          <a:endParaRPr lang="es-ES" altLang="es-AR" sz="1200" b="1" dirty="0">
            <a:solidFill>
              <a:schemeClr val="bg1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3MqxI3rie5mCg1kzLce3nbIuTg==">CgMxLjAaJwoBMBIiCiAIBCocCgtBQUFCblktQk94RRAIGgtBQUFCblktQk94SRoaCgExEhUKEwgEKg8KC0FBQUJuWS1CT3hFEAQaGgoBMhIVChMIBCoPCgtBQUFCblktQk94RRAEGicKATMSIgogCAQqHAoLQUFBQm5ZLUJPd28QCBoLQUFBQm5ZLUJPdzgaGgoBNBIVChMIBCoPCgtBQUFCblktQk93bxAEGicKATUSIgogCAQqHAoLQUFBQm5ZLUJPd3MQCBoLQUFBQm5ZLUJPeEEaGgoBNhIVChMIBCoPCgtBQUFCblktQk93cxAEGicKATcSIgogCAQqHAoLQUFBQm5ZLUJPeTQQCBoLQUFBQm5ZLUJPekEaGgoBOBIVChMIBCoPCgtBQUFCblktQk95NBAEGhoKATkSFQoTCAQqDwoLQUFBQm5ZLUJPeTQQBBobCgIxMBIVChMIBCoPCgtBQUFCblktQk95WRACGhsKAjExEhUKEwgEKg8KC0FBQUJuWS1CT3lZEAIaGwoCMTISFQoTCAQqDwoLQUFBQm5ZLUJPekUQAiKUAwoLQUFBQm5ZLUJPd3MS4AIKC0FBQUJuWS1CT3dzEgtBQUFCblktQk93cxoNCgl0ZXh0L2h0bWwSACIOCgp0ZXh0L3BsYWluEgAqGyIVMTEyMzM1NDE3MzU3ODQ5Mjk5NzQyKAA4ADDrh7bIgTM4lcO5yIEzQo8BCgtBQUFCblktQk94QRILQUFBQm5ZLUJPd3MaEAoJdGV4dC9odG1sEgM4NyUiEQoKdGV4dC9wbGFpbhIDODclKhsiFTExMjMzNTQxNzM1Nzg0OTI5OTc0MigAOAAwlcO5yIEzOJXDuciBM1oMb2I2aHg3ZzUzNzQ0cgIgAHgAmgEGCAAQABgAqgEFEgM4NyVKNAokYXBwbGljYXRpb24vdm5kLmdvb2dsZS1hcHBzLmRvY3MubWRzGgzC19rkAQYiBAgBEAFaDHkxbHI5MzRrc3V2Y3ICIAB4AIIBFHN1Z2dlc3QuNnc3d3YwcXNqd3VimgEGCAAQABgAGOuHtsiBMyCVw7nIgTNCFHN1Z2dlc3QuNnc3d3YwcXNqd3ViItUECgtBQUFCblktQk94RRKhBAoLQUFBQm5ZLUJPeEUSC0FBQUJuWS1CT3hFGg0KCXRleHQvaHRtbBIAIg4KCnRleHQvcGxhaW4SACobIhUxMTIzMzU0MTczNTc4NDkyOTk3NDIoADgAMJaOusiBMzjUj7vIgTNC0AIKC0FBQUJuWS1CT3hJEgtBQUFCblktQk94RRpRCgl0ZXh0L2h0bWwSRFBlZGlybGUgYWwgY2hhdCBkaXN0aW50YXMgb3Bpb25lcyBkZSB0aXR1bG8gYXRyYWN0aXZvIHBhcmEgZXN0ZSBub3RhIlIKCnRleHQvcGxhaW4SRFBlZGlybGUgYWwgY2hhdCBkaXN0aW50YXMgb3Bpb25lcyBkZSB0aXR1bG8gYXRyYWN0aXZvIHBhcmEgZXN0ZSBub3RhKhsiFTExMjMzNTQxNzM1Nzg0OTI5OTc0MigAOAAw1I+7yIEzONSPu8iBM1oKc3Rnb3UzMWlneHICIAB4AJoBBggAEAAYAKoBRhJEUGVkaXJsZSBhbCBjaGF0IGRpc3RpbnRhcyBvcGlvbmVzIGRlIHRpdHVsbyBhdHJhY3Rpdm8gcGFyYSBlc3RlIG5vdGFKNAokYXBwbGljYXRpb24vdm5kLmdvb2dsZS1hcHBzLmRvY3MubWRzGgzC19rkAQYiBAgBEAFaDGRpbjIycmp5cXJha3ICIAB4AIIBFHN1Z2dlc3QudTN6c2w5czBocWY3mgEGCAAQABgAGJaOusiBMyDUj7vIgTNCFHN1Z2dlc3QudTN6c2w5czBocWY3IpUCCgtBQUFCblktQk96RRLhAQoLQUFBQm5ZLUJPekUSC0FBQUJuWS1CT3pFGg0KCXRleHQvaHRtbBIAIg4KCnRleHQvcGxhaW4SACobIhUxMTIzMzU0MTczNTc4NDkyOTk3NDIoADgAMI7Y1siBMzjx3NbIgTNKRwokYXBwbGljYXRpb24vdm5kLmdvb2dsZS1hcHBzLmRvY3MubWRzGh/C19rkARkSFwoTCg3igJRhZ3JlZ8Oz4oCUEAEYABABWgwzaTg0bmpvb2h5MnRyAiAAeACCARRzdWdnZXN0LmJxYXY0YnhiYmdyc5oBBggAEAAYABiO2NbIgTMg8dzWyIEzQhRzdWdnZXN0LmJxYXY0YnhiYmdycyKABAoLQUFBQm5ZLUJPeTQSzAMKC0FBQUJuWS1CT3k0EgtBQUFCblktQk95NBoNCgl0ZXh0L2h0bWwSACIOCgp0ZXh0L3BsYWluEgAqGyIVMTEyMzM1NDE3MzU3ODQ5Mjk5NzQyKAA4ADDBs9LIgTM41e/UyIEzQvsBCgtBQUFCblktQk96QRILQUFBQm5ZLUJPeTQaNAoJdGV4dC9odG1sEidjb2xwYXNvIHBvciBsYSBlbWVyZ2VuY2lhLCBhbHRhIGRlbWFuZGEiNQoKdGV4dC9wbGFpbhInY29scGFzbyBwb3IgbGEgZW1lcmdlbmNpYSwgYWx0YSBkZW1hbmRhKhsiFTExMjMzNTQxNzM1Nzg0OTI5OTc0MigAOAAw1e/UyIEzONXv1MiBM1oMZmE5NnVtdzZ0YW05cgIgAHgAmgEGCAAQABgAqgEpEidjb2xwYXNvIHBvciBsYSBlbWVyZ2VuY2lhLCBhbHRhIGRlbWFuZGFKNAokYXBwbGljYXRpb24vdm5kLmdvb2dsZS1hcHBzLmRvY3MubWRzGgzC19rkAQYiBAgBEAFaDGxvMzNobjcwbzRnb3ICIAB4AIIBFHN1Z2dlc3QuNmtwbG0zd2g0dGd3mgEGCAAQABgAGMGz0siBMyDV79TIgTNCFHN1Z2dlc3QuNmtwbG0zd2g0dGd3IogCCgtBQUFCblktQk95WRLUAQoLQUFBQm5ZLUJPeVkSC0FBQUJuWS1CT3lZGg0KCXRleHQvaHRtbBIAIg4KCnRleHQvcGxhaW4SACobIhUxMTIzMzU0MTczNTc4NDkyOTk3NDIoADgAMKrzx8iBMzjH+MfIgTNKOgokYXBwbGljYXRpb24vdm5kLmdvb2dsZS1hcHBzLmRvY3MubWRzGhLC19rkAQwSCgoGCgAQFBgAEAFaDHdzMWZjZDloOHBicXICIAB4AIIBFHN1Z2dlc3QuM2IwZGMyNTJkY29xmgEGCAAQABgAGKrzx8iBMyDH+MfIgTNCFHN1Z2dlc3QuM2IwZGMyNTJkY29xIq8DCgtBQUFCblktQk93bxL7AgoLQUFBQm5ZLUJPd28SC0FBQUJuWS1CT3dvGg0KCXRleHQvaHRtbBIAIg4KCnRleHQvcGxhaW4SACobIhUxMTIzMzU0MTczNTc4NDkyOTk3NDIoADgAMIq0tciBMziChrnIgTNCqgEKC0FBQUJuWS1CT3c4EgtBQUFCblktQk93bxoZCgl0ZXh0L2h0bWwSDG1pbCBtaWxsb25lcyIaCgp0ZXh0L3BsYWluEgxtaWwgbWlsbG9uZXMqGyIVMTEyMzM1NDE3MzU3ODQ5Mjk5NzQyKAA4ADCChrnIgTM4goa5yIEzWgw0NXRnOXl1dDVpaHByAiAAeACaAQYIABAAGACqAQ4SDG1pbCBtaWxsb25lc0o0CiRhcHBsaWNhdGlvbi92bmQuZ29vZ2xlLWFwcHMuZG9jcy5tZHMaDMLX2uQBBiIECAEQAVoMMzZ0Ynl1emE1YWh5cgIgAHgAggEUc3VnZ2VzdC5nZDB6andpdGc1ZmyaAQYIABAAGAAYirS1yIEzIIKGuciBM0IUc3VnZ2VzdC5nZDB6andpdGc1Zmw4AGokChRzdWdnZXN0LjZ3N3d2MHFzand1YhIMUGlsYXIgTXXDsW96aiQKFHN1Z2dlc3QudTN6c2w5czBocWY3EgxQaWxhciBNdcOxb3pqJAoUc3VnZ2VzdC5icWF2NGJ4YmJncnMSDFBpbGFyIE11w7FvemokChRzdWdnZXN0LjZrcGxtM3doNHRndxIMUGlsYXIgTXXDsW96aiQKFHN1Z2dlc3QuM2IwZGMyNTJkY29xEgxQaWxhciBNdcOxb3pqJAoUc3VnZ2VzdC5nZDB6andpdGc1ZmwSDFBpbGFyIE11w7FvenIhMWZiMXpJS2VhUlhyamhheE1QNVZ0NzByX0pkdHdkNk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Marelli</dc:creator>
  <cp:lastModifiedBy>Gustavo Trias</cp:lastModifiedBy>
  <cp:revision>2</cp:revision>
  <dcterms:created xsi:type="dcterms:W3CDTF">2025-12-19T12:45:00Z</dcterms:created>
  <dcterms:modified xsi:type="dcterms:W3CDTF">2025-12-19T12:45:00Z</dcterms:modified>
</cp:coreProperties>
</file>