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ABD2F" w14:textId="77777777" w:rsidR="00BD2171" w:rsidRDefault="00BD2171" w:rsidP="00505696">
      <w:pPr>
        <w:pStyle w:val="Intropuntoelenco"/>
        <w:tabs>
          <w:tab w:val="left" w:pos="0"/>
        </w:tabs>
        <w:spacing w:after="0"/>
        <w:jc w:val="center"/>
        <w:rPr>
          <w:rFonts w:ascii="Aptos" w:eastAsiaTheme="majorEastAsia" w:hAnsi="Aptos" w:cstheme="majorHAnsi"/>
          <w:noProof/>
          <w:color w:val="C21B17" w:themeColor="accent1"/>
          <w:spacing w:val="-10"/>
          <w:kern w:val="28"/>
          <w:sz w:val="40"/>
          <w:szCs w:val="52"/>
          <w:lang w:val="es-AR" w:eastAsia="it-IT"/>
        </w:rPr>
      </w:pPr>
    </w:p>
    <w:p w14:paraId="1377F27C" w14:textId="77777777" w:rsidR="00724592" w:rsidRPr="00FF79C3" w:rsidRDefault="00EF52CE" w:rsidP="00CA6A66">
      <w:pPr>
        <w:pStyle w:val="Intropuntoelenco"/>
        <w:tabs>
          <w:tab w:val="left" w:pos="0"/>
        </w:tabs>
        <w:spacing w:after="0" w:line="240" w:lineRule="auto"/>
        <w:jc w:val="center"/>
        <w:rPr>
          <w:rFonts w:ascii="Aptos" w:eastAsiaTheme="majorEastAsia" w:hAnsi="Aptos" w:cstheme="majorHAnsi"/>
          <w:b/>
          <w:bCs/>
          <w:noProof/>
          <w:color w:val="C21B17" w:themeColor="accent1"/>
          <w:spacing w:val="-10"/>
          <w:kern w:val="28"/>
          <w:sz w:val="40"/>
          <w:szCs w:val="52"/>
          <w:lang w:val="es-AR" w:eastAsia="it-IT"/>
        </w:rPr>
      </w:pPr>
      <w:r w:rsidRPr="00FF79C3">
        <w:rPr>
          <w:rFonts w:ascii="Aptos" w:eastAsiaTheme="majorEastAsia" w:hAnsi="Aptos" w:cstheme="majorHAnsi"/>
          <w:b/>
          <w:bCs/>
          <w:noProof/>
          <w:color w:val="C21B17" w:themeColor="accent1"/>
          <w:spacing w:val="-10"/>
          <w:kern w:val="28"/>
          <w:sz w:val="40"/>
          <w:szCs w:val="52"/>
          <w:lang w:val="es-AR" w:eastAsia="it-IT"/>
        </w:rPr>
        <w:t xml:space="preserve">Generali </w:t>
      </w:r>
      <w:r w:rsidR="00724592" w:rsidRPr="00FF79C3">
        <w:rPr>
          <w:rFonts w:ascii="Aptos" w:eastAsiaTheme="majorEastAsia" w:hAnsi="Aptos" w:cstheme="majorHAnsi"/>
          <w:b/>
          <w:bCs/>
          <w:noProof/>
          <w:color w:val="C21B17" w:themeColor="accent1"/>
          <w:spacing w:val="-10"/>
          <w:kern w:val="28"/>
          <w:sz w:val="40"/>
          <w:szCs w:val="52"/>
          <w:lang w:val="es-AR" w:eastAsia="it-IT"/>
        </w:rPr>
        <w:t>supera con creces</w:t>
      </w:r>
      <w:r w:rsidRPr="00FF79C3">
        <w:rPr>
          <w:rFonts w:ascii="Aptos" w:eastAsiaTheme="majorEastAsia" w:hAnsi="Aptos" w:cstheme="majorHAnsi"/>
          <w:b/>
          <w:bCs/>
          <w:noProof/>
          <w:color w:val="C21B17" w:themeColor="accent1"/>
          <w:spacing w:val="-10"/>
          <w:kern w:val="28"/>
          <w:sz w:val="40"/>
          <w:szCs w:val="52"/>
          <w:lang w:val="es-AR" w:eastAsia="it-IT"/>
        </w:rPr>
        <w:t xml:space="preserve"> los objetivos del plan</w:t>
      </w:r>
    </w:p>
    <w:p w14:paraId="7975E686" w14:textId="7F95089A" w:rsidR="00BB591B" w:rsidRPr="00207D95" w:rsidRDefault="00EF52CE" w:rsidP="00CA6A66">
      <w:pPr>
        <w:pStyle w:val="Intropuntoelenco"/>
        <w:tabs>
          <w:tab w:val="left" w:pos="0"/>
        </w:tabs>
        <w:spacing w:after="0" w:line="240" w:lineRule="auto"/>
        <w:jc w:val="center"/>
        <w:rPr>
          <w:rFonts w:ascii="Aptos" w:hAnsi="Aptos" w:cstheme="majorHAnsi"/>
          <w:b/>
          <w:bCs/>
          <w:color w:val="C00000"/>
          <w:sz w:val="21"/>
          <w:szCs w:val="21"/>
          <w:lang w:val="es-AR"/>
        </w:rPr>
      </w:pPr>
      <w:r w:rsidRPr="00FF79C3">
        <w:rPr>
          <w:rFonts w:ascii="Aptos" w:eastAsiaTheme="majorEastAsia" w:hAnsi="Aptos" w:cstheme="majorHAnsi"/>
          <w:b/>
          <w:bCs/>
          <w:noProof/>
          <w:color w:val="C21B17" w:themeColor="accent1"/>
          <w:spacing w:val="-10"/>
          <w:kern w:val="28"/>
          <w:sz w:val="40"/>
          <w:szCs w:val="52"/>
          <w:lang w:val="es-AR" w:eastAsia="it-IT"/>
        </w:rPr>
        <w:t>“Lifetime Partner 24: Driving Growth” y logra un resultado operativo y neto ajustado récord</w:t>
      </w:r>
    </w:p>
    <w:p w14:paraId="63003909" w14:textId="77777777" w:rsidR="00BB591B" w:rsidRPr="00207D95" w:rsidRDefault="00BB591B" w:rsidP="006A3C74">
      <w:pPr>
        <w:pStyle w:val="Intropuntoelenco"/>
        <w:tabs>
          <w:tab w:val="left" w:pos="0"/>
        </w:tabs>
        <w:spacing w:after="0"/>
        <w:jc w:val="both"/>
        <w:rPr>
          <w:rFonts w:ascii="Aptos" w:hAnsi="Aptos" w:cstheme="majorHAnsi"/>
          <w:b/>
          <w:bCs/>
          <w:color w:val="C00000"/>
          <w:sz w:val="21"/>
          <w:szCs w:val="21"/>
          <w:lang w:val="es-AR"/>
        </w:rPr>
      </w:pPr>
    </w:p>
    <w:p w14:paraId="6A7E21B2" w14:textId="502D907F" w:rsidR="00EF52CE" w:rsidRPr="00207D95" w:rsidRDefault="00EF52CE" w:rsidP="004A16E7">
      <w:pPr>
        <w:pStyle w:val="Intropuntoelenco"/>
        <w:numPr>
          <w:ilvl w:val="0"/>
          <w:numId w:val="10"/>
        </w:numPr>
        <w:tabs>
          <w:tab w:val="left" w:pos="0"/>
        </w:tabs>
        <w:rPr>
          <w:rFonts w:ascii="Aptos" w:hAnsi="Aptos" w:cstheme="majorHAnsi"/>
          <w:color w:val="2B2B2B" w:themeColor="text1" w:themeTint="E6"/>
          <w:sz w:val="21"/>
          <w:szCs w:val="21"/>
          <w:lang w:val="es-AR"/>
        </w:rPr>
      </w:pPr>
      <w:r w:rsidRPr="00207D95">
        <w:rPr>
          <w:rFonts w:ascii="Aptos" w:hAnsi="Aptos" w:cstheme="majorHAnsi"/>
          <w:color w:val="2B2B2B" w:themeColor="text1" w:themeTint="E6"/>
          <w:sz w:val="21"/>
          <w:szCs w:val="21"/>
          <w:lang w:val="es-AR"/>
        </w:rPr>
        <w:t>Las primas emitidas brutas aumentaron significativamente a € 95,2 mil millones (+14,9%) con un fuerte crecimiento en Vida (+19,2%) y P&amp;C (+7,7%)</w:t>
      </w:r>
    </w:p>
    <w:p w14:paraId="03DFA872" w14:textId="7F0D4AEC" w:rsidR="00EF52CE" w:rsidRPr="00207D95" w:rsidRDefault="00EF52CE" w:rsidP="004A16E7">
      <w:pPr>
        <w:pStyle w:val="Intropuntoelenco"/>
        <w:numPr>
          <w:ilvl w:val="0"/>
          <w:numId w:val="10"/>
        </w:numPr>
        <w:tabs>
          <w:tab w:val="left" w:pos="0"/>
        </w:tabs>
        <w:rPr>
          <w:rFonts w:ascii="Aptos" w:hAnsi="Aptos" w:cstheme="majorHAnsi"/>
          <w:color w:val="2B2B2B" w:themeColor="text1" w:themeTint="E6"/>
          <w:sz w:val="21"/>
          <w:szCs w:val="21"/>
          <w:lang w:val="es-AR"/>
        </w:rPr>
      </w:pPr>
      <w:r w:rsidRPr="00207D95">
        <w:rPr>
          <w:rFonts w:ascii="Aptos" w:hAnsi="Aptos" w:cstheme="majorHAnsi"/>
          <w:color w:val="2B2B2B" w:themeColor="text1" w:themeTint="E6"/>
          <w:sz w:val="21"/>
          <w:szCs w:val="21"/>
          <w:lang w:val="es-AR"/>
        </w:rPr>
        <w:t xml:space="preserve">Los flujos netos de Vida alcanzaron niveles muy positivos en € 9,7 mil millones, impulsados completamente por protección y </w:t>
      </w:r>
      <w:proofErr w:type="spellStart"/>
      <w:r w:rsidRPr="00207D95">
        <w:rPr>
          <w:rFonts w:ascii="Aptos" w:hAnsi="Aptos" w:cstheme="majorHAnsi"/>
          <w:color w:val="2B2B2B" w:themeColor="text1" w:themeTint="E6"/>
          <w:sz w:val="21"/>
          <w:szCs w:val="21"/>
          <w:lang w:val="es-AR"/>
        </w:rPr>
        <w:t>unit-linked</w:t>
      </w:r>
      <w:proofErr w:type="spellEnd"/>
      <w:r w:rsidRPr="00207D95">
        <w:rPr>
          <w:rFonts w:ascii="Aptos" w:hAnsi="Aptos" w:cstheme="majorHAnsi"/>
          <w:color w:val="2B2B2B" w:themeColor="text1" w:themeTint="E6"/>
          <w:sz w:val="21"/>
          <w:szCs w:val="21"/>
          <w:lang w:val="es-AR"/>
        </w:rPr>
        <w:t>. El Valor del Nuevo Negocio creció a € 2,4 mil millones (+2,3%)</w:t>
      </w:r>
    </w:p>
    <w:p w14:paraId="364DDDC7" w14:textId="3C004A6D" w:rsidR="00EF52CE" w:rsidRPr="00207D95" w:rsidRDefault="00EF52CE" w:rsidP="004A16E7">
      <w:pPr>
        <w:pStyle w:val="Intropuntoelenco"/>
        <w:numPr>
          <w:ilvl w:val="0"/>
          <w:numId w:val="10"/>
        </w:numPr>
        <w:tabs>
          <w:tab w:val="left" w:pos="0"/>
        </w:tabs>
        <w:rPr>
          <w:rFonts w:ascii="Aptos" w:hAnsi="Aptos" w:cstheme="majorHAnsi"/>
          <w:color w:val="2B2B2B" w:themeColor="text1" w:themeTint="E6"/>
          <w:sz w:val="21"/>
          <w:szCs w:val="21"/>
          <w:lang w:val="es-AR"/>
        </w:rPr>
      </w:pPr>
      <w:r w:rsidRPr="00207D95">
        <w:rPr>
          <w:rFonts w:ascii="Aptos" w:hAnsi="Aptos" w:cstheme="majorHAnsi"/>
          <w:color w:val="2B2B2B" w:themeColor="text1" w:themeTint="E6"/>
          <w:sz w:val="21"/>
          <w:szCs w:val="21"/>
          <w:lang w:val="es-AR"/>
        </w:rPr>
        <w:t>El Ratio Combinado (</w:t>
      </w:r>
      <w:proofErr w:type="spellStart"/>
      <w:r w:rsidRPr="00207D95">
        <w:rPr>
          <w:rFonts w:ascii="Aptos" w:hAnsi="Aptos" w:cstheme="majorHAnsi"/>
          <w:color w:val="2B2B2B" w:themeColor="text1" w:themeTint="E6"/>
          <w:sz w:val="21"/>
          <w:szCs w:val="21"/>
          <w:lang w:val="es-AR"/>
        </w:rPr>
        <w:t>CoR</w:t>
      </w:r>
      <w:proofErr w:type="spellEnd"/>
      <w:r w:rsidRPr="00207D95">
        <w:rPr>
          <w:rFonts w:ascii="Aptos" w:hAnsi="Aptos" w:cstheme="majorHAnsi"/>
          <w:color w:val="2B2B2B" w:themeColor="text1" w:themeTint="E6"/>
          <w:sz w:val="21"/>
          <w:szCs w:val="21"/>
          <w:lang w:val="es-AR"/>
        </w:rPr>
        <w:t xml:space="preserve">) se mantuvo en 94,0% (0,0 p.p.) con un </w:t>
      </w:r>
      <w:proofErr w:type="spellStart"/>
      <w:r w:rsidRPr="00207D95">
        <w:rPr>
          <w:rFonts w:ascii="Aptos" w:hAnsi="Aptos" w:cstheme="majorHAnsi"/>
          <w:color w:val="2B2B2B" w:themeColor="text1" w:themeTint="E6"/>
          <w:sz w:val="21"/>
          <w:szCs w:val="21"/>
          <w:lang w:val="es-AR"/>
        </w:rPr>
        <w:t>CoR</w:t>
      </w:r>
      <w:proofErr w:type="spellEnd"/>
      <w:r w:rsidRPr="00207D95">
        <w:rPr>
          <w:rFonts w:ascii="Aptos" w:hAnsi="Aptos" w:cstheme="majorHAnsi"/>
          <w:color w:val="2B2B2B" w:themeColor="text1" w:themeTint="E6"/>
          <w:sz w:val="21"/>
          <w:szCs w:val="21"/>
          <w:lang w:val="es-AR"/>
        </w:rPr>
        <w:t xml:space="preserve"> no descontado mejorado en 95,9% (-0,8 p.p.) gracias al fuerte desempeño del </w:t>
      </w:r>
      <w:proofErr w:type="spellStart"/>
      <w:r w:rsidRPr="00207D95">
        <w:rPr>
          <w:rFonts w:ascii="Aptos" w:hAnsi="Aptos" w:cstheme="majorHAnsi"/>
          <w:color w:val="2B2B2B" w:themeColor="text1" w:themeTint="E6"/>
          <w:sz w:val="21"/>
          <w:szCs w:val="21"/>
          <w:lang w:val="es-AR"/>
        </w:rPr>
        <w:t>CoR</w:t>
      </w:r>
      <w:proofErr w:type="spellEnd"/>
      <w:r w:rsidRPr="00207D95">
        <w:rPr>
          <w:rFonts w:ascii="Aptos" w:hAnsi="Aptos" w:cstheme="majorHAnsi"/>
          <w:color w:val="2B2B2B" w:themeColor="text1" w:themeTint="E6"/>
          <w:sz w:val="21"/>
          <w:szCs w:val="21"/>
          <w:lang w:val="es-AR"/>
        </w:rPr>
        <w:t xml:space="preserve"> </w:t>
      </w:r>
      <w:proofErr w:type="spellStart"/>
      <w:r w:rsidRPr="00207D95">
        <w:rPr>
          <w:rFonts w:ascii="Aptos" w:hAnsi="Aptos" w:cstheme="majorHAnsi"/>
          <w:color w:val="2B2B2B" w:themeColor="text1" w:themeTint="E6"/>
          <w:sz w:val="21"/>
          <w:szCs w:val="21"/>
          <w:lang w:val="es-AR"/>
        </w:rPr>
        <w:t>atricional</w:t>
      </w:r>
      <w:proofErr w:type="spellEnd"/>
    </w:p>
    <w:p w14:paraId="6441F641" w14:textId="723419D3" w:rsidR="00EF52CE" w:rsidRPr="00207D95" w:rsidRDefault="00EF52CE" w:rsidP="004A16E7">
      <w:pPr>
        <w:pStyle w:val="Intropuntoelenco"/>
        <w:numPr>
          <w:ilvl w:val="0"/>
          <w:numId w:val="10"/>
        </w:numPr>
        <w:tabs>
          <w:tab w:val="left" w:pos="0"/>
        </w:tabs>
        <w:rPr>
          <w:rFonts w:ascii="Aptos" w:hAnsi="Aptos" w:cstheme="majorHAnsi"/>
          <w:color w:val="2B2B2B" w:themeColor="text1" w:themeTint="E6"/>
          <w:sz w:val="21"/>
          <w:szCs w:val="21"/>
          <w:lang w:val="es-AR"/>
        </w:rPr>
      </w:pPr>
      <w:r w:rsidRPr="00207D95">
        <w:rPr>
          <w:rFonts w:ascii="Aptos" w:hAnsi="Aptos" w:cstheme="majorHAnsi"/>
          <w:color w:val="2B2B2B" w:themeColor="text1" w:themeTint="E6"/>
          <w:sz w:val="21"/>
          <w:szCs w:val="21"/>
          <w:lang w:val="es-AR"/>
        </w:rPr>
        <w:t>El resultado operativo continuó creciendo hasta un récord de € 7,3 mil millones (+8,2%), liderado por todos los segmentos de negocio con una fuerte contribución de Gestión de Activos y Patrimonios</w:t>
      </w:r>
    </w:p>
    <w:p w14:paraId="51910915" w14:textId="53CFB8E0" w:rsidR="00EF52CE" w:rsidRPr="00207D95" w:rsidRDefault="00EF52CE" w:rsidP="004A16E7">
      <w:pPr>
        <w:pStyle w:val="Intropuntoelenco"/>
        <w:numPr>
          <w:ilvl w:val="0"/>
          <w:numId w:val="10"/>
        </w:numPr>
        <w:tabs>
          <w:tab w:val="left" w:pos="0"/>
        </w:tabs>
        <w:rPr>
          <w:rFonts w:ascii="Aptos" w:hAnsi="Aptos" w:cstheme="majorHAnsi"/>
          <w:color w:val="2B2B2B" w:themeColor="text1" w:themeTint="E6"/>
          <w:sz w:val="21"/>
          <w:szCs w:val="21"/>
          <w:lang w:val="es-AR"/>
        </w:rPr>
      </w:pPr>
      <w:r w:rsidRPr="00207D95">
        <w:rPr>
          <w:rFonts w:ascii="Aptos" w:hAnsi="Aptos" w:cstheme="majorHAnsi"/>
          <w:color w:val="2B2B2B" w:themeColor="text1" w:themeTint="E6"/>
          <w:sz w:val="21"/>
          <w:szCs w:val="21"/>
          <w:lang w:val="es-AR"/>
        </w:rPr>
        <w:t>El resultado neto ajustado aumentó a € 3,8 mil millones (+5,4%), un récord histórico para el Grupo</w:t>
      </w:r>
    </w:p>
    <w:p w14:paraId="441652EE" w14:textId="62F441B7" w:rsidR="00EF52CE" w:rsidRPr="00207D95" w:rsidRDefault="00EF52CE" w:rsidP="004A16E7">
      <w:pPr>
        <w:pStyle w:val="Intropuntoelenco"/>
        <w:numPr>
          <w:ilvl w:val="0"/>
          <w:numId w:val="10"/>
        </w:numPr>
        <w:tabs>
          <w:tab w:val="left" w:pos="0"/>
        </w:tabs>
        <w:rPr>
          <w:rFonts w:ascii="Aptos" w:hAnsi="Aptos" w:cstheme="majorHAnsi"/>
          <w:color w:val="2B2B2B" w:themeColor="text1" w:themeTint="E6"/>
          <w:sz w:val="21"/>
          <w:szCs w:val="21"/>
          <w:lang w:val="es-AR"/>
        </w:rPr>
      </w:pPr>
      <w:r w:rsidRPr="00207D95">
        <w:rPr>
          <w:rFonts w:ascii="Aptos" w:hAnsi="Aptos" w:cstheme="majorHAnsi"/>
          <w:color w:val="2B2B2B" w:themeColor="text1" w:themeTint="E6"/>
          <w:sz w:val="21"/>
          <w:szCs w:val="21"/>
          <w:lang w:val="es-AR"/>
        </w:rPr>
        <w:t xml:space="preserve">Los Activos Totales Bajo Gestión alcanzaron € 863 mil millones (+31,6%) gracias a flujos netos positivos y la consolidación de </w:t>
      </w:r>
      <w:proofErr w:type="spellStart"/>
      <w:r w:rsidRPr="00207D95">
        <w:rPr>
          <w:rFonts w:ascii="Aptos" w:hAnsi="Aptos" w:cstheme="majorHAnsi"/>
          <w:color w:val="2B2B2B" w:themeColor="text1" w:themeTint="E6"/>
          <w:sz w:val="21"/>
          <w:szCs w:val="21"/>
          <w:lang w:val="es-AR"/>
        </w:rPr>
        <w:t>Conning</w:t>
      </w:r>
      <w:proofErr w:type="spellEnd"/>
      <w:r w:rsidRPr="00207D95">
        <w:rPr>
          <w:rFonts w:ascii="Aptos" w:hAnsi="Aptos" w:cstheme="majorHAnsi"/>
          <w:color w:val="2B2B2B" w:themeColor="text1" w:themeTint="E6"/>
          <w:sz w:val="21"/>
          <w:szCs w:val="21"/>
          <w:lang w:val="es-AR"/>
        </w:rPr>
        <w:t xml:space="preserve"> Holdings </w:t>
      </w:r>
      <w:proofErr w:type="spellStart"/>
      <w:r w:rsidRPr="00207D95">
        <w:rPr>
          <w:rFonts w:ascii="Aptos" w:hAnsi="Aptos" w:cstheme="majorHAnsi"/>
          <w:color w:val="2B2B2B" w:themeColor="text1" w:themeTint="E6"/>
          <w:sz w:val="21"/>
          <w:szCs w:val="21"/>
          <w:lang w:val="es-AR"/>
        </w:rPr>
        <w:t>Limited</w:t>
      </w:r>
      <w:proofErr w:type="spellEnd"/>
    </w:p>
    <w:p w14:paraId="2778484F" w14:textId="4F89E93D" w:rsidR="00EF52CE" w:rsidRPr="00207D95" w:rsidRDefault="00EF52CE" w:rsidP="004A16E7">
      <w:pPr>
        <w:pStyle w:val="Intropuntoelenco"/>
        <w:numPr>
          <w:ilvl w:val="0"/>
          <w:numId w:val="10"/>
        </w:numPr>
        <w:tabs>
          <w:tab w:val="left" w:pos="0"/>
        </w:tabs>
        <w:rPr>
          <w:rFonts w:ascii="Aptos" w:hAnsi="Aptos" w:cstheme="majorHAnsi"/>
          <w:color w:val="2B2B2B" w:themeColor="text1" w:themeTint="E6"/>
          <w:sz w:val="21"/>
          <w:szCs w:val="21"/>
          <w:lang w:val="es-AR"/>
        </w:rPr>
      </w:pPr>
      <w:r w:rsidRPr="00207D95">
        <w:rPr>
          <w:rFonts w:ascii="Aptos" w:hAnsi="Aptos" w:cstheme="majorHAnsi"/>
          <w:color w:val="2B2B2B" w:themeColor="text1" w:themeTint="E6"/>
          <w:sz w:val="21"/>
          <w:szCs w:val="21"/>
          <w:lang w:val="es-AR"/>
        </w:rPr>
        <w:t>Posición de capital sólida, con Ratio de Solvencia en 210% (220% FY2023), reflejando principalmente transacciones de M&amp;A y el programa de recompra de acciones de € 500 millones en 2024</w:t>
      </w:r>
    </w:p>
    <w:p w14:paraId="6E526213" w14:textId="65BE8AF4" w:rsidR="00EF52CE" w:rsidRPr="00AD1AE3" w:rsidRDefault="00EF52CE" w:rsidP="00AD1AE3">
      <w:pPr>
        <w:pStyle w:val="Intropuntoelenco"/>
        <w:numPr>
          <w:ilvl w:val="0"/>
          <w:numId w:val="10"/>
        </w:numPr>
        <w:tabs>
          <w:tab w:val="left" w:pos="0"/>
        </w:tabs>
        <w:rPr>
          <w:rFonts w:ascii="Aptos" w:hAnsi="Aptos" w:cstheme="majorHAnsi"/>
          <w:color w:val="2B2B2B" w:themeColor="text1" w:themeTint="E6"/>
          <w:sz w:val="21"/>
          <w:szCs w:val="21"/>
          <w:lang w:val="es-AR"/>
        </w:rPr>
      </w:pPr>
      <w:r w:rsidRPr="00207D95">
        <w:rPr>
          <w:rFonts w:ascii="Aptos" w:hAnsi="Aptos" w:cstheme="majorHAnsi"/>
          <w:color w:val="2B2B2B" w:themeColor="text1" w:themeTint="E6"/>
          <w:sz w:val="21"/>
          <w:szCs w:val="21"/>
          <w:lang w:val="es-AR"/>
        </w:rPr>
        <w:t>El dividendo propuesto por acción de € 1,43 (+11,7%) confirma el fuerte enfoque en aumentar la remuneración a los accionistas en el plan “</w:t>
      </w:r>
      <w:proofErr w:type="spellStart"/>
      <w:r w:rsidRPr="00207D95">
        <w:rPr>
          <w:rFonts w:ascii="Aptos" w:hAnsi="Aptos" w:cstheme="majorHAnsi"/>
          <w:color w:val="2B2B2B" w:themeColor="text1" w:themeTint="E6"/>
          <w:sz w:val="21"/>
          <w:szCs w:val="21"/>
          <w:lang w:val="es-AR"/>
        </w:rPr>
        <w:t>Lifetime</w:t>
      </w:r>
      <w:proofErr w:type="spellEnd"/>
      <w:r w:rsidRPr="00207D95">
        <w:rPr>
          <w:rFonts w:ascii="Aptos" w:hAnsi="Aptos" w:cstheme="majorHAnsi"/>
          <w:color w:val="2B2B2B" w:themeColor="text1" w:themeTint="E6"/>
          <w:sz w:val="21"/>
          <w:szCs w:val="21"/>
          <w:lang w:val="es-AR"/>
        </w:rPr>
        <w:t xml:space="preserve"> </w:t>
      </w:r>
      <w:proofErr w:type="spellStart"/>
      <w:r w:rsidRPr="00207D95">
        <w:rPr>
          <w:rFonts w:ascii="Aptos" w:hAnsi="Aptos" w:cstheme="majorHAnsi"/>
          <w:color w:val="2B2B2B" w:themeColor="text1" w:themeTint="E6"/>
          <w:sz w:val="21"/>
          <w:szCs w:val="21"/>
          <w:lang w:val="es-AR"/>
        </w:rPr>
        <w:t>Partner</w:t>
      </w:r>
      <w:proofErr w:type="spellEnd"/>
      <w:r w:rsidRPr="00207D95">
        <w:rPr>
          <w:rFonts w:ascii="Aptos" w:hAnsi="Aptos" w:cstheme="majorHAnsi"/>
          <w:color w:val="2B2B2B" w:themeColor="text1" w:themeTint="E6"/>
          <w:sz w:val="21"/>
          <w:szCs w:val="21"/>
          <w:lang w:val="es-AR"/>
        </w:rPr>
        <w:t xml:space="preserve"> 27: </w:t>
      </w:r>
      <w:proofErr w:type="spellStart"/>
      <w:r w:rsidRPr="00207D95">
        <w:rPr>
          <w:rFonts w:ascii="Aptos" w:hAnsi="Aptos" w:cstheme="majorHAnsi"/>
          <w:color w:val="2B2B2B" w:themeColor="text1" w:themeTint="E6"/>
          <w:sz w:val="21"/>
          <w:szCs w:val="21"/>
          <w:lang w:val="es-AR"/>
        </w:rPr>
        <w:t>Driving</w:t>
      </w:r>
      <w:proofErr w:type="spellEnd"/>
      <w:r w:rsidRPr="00207D95">
        <w:rPr>
          <w:rFonts w:ascii="Aptos" w:hAnsi="Aptos" w:cstheme="majorHAnsi"/>
          <w:color w:val="2B2B2B" w:themeColor="text1" w:themeTint="E6"/>
          <w:sz w:val="21"/>
          <w:szCs w:val="21"/>
          <w:lang w:val="es-AR"/>
        </w:rPr>
        <w:t xml:space="preserve"> </w:t>
      </w:r>
      <w:proofErr w:type="spellStart"/>
      <w:r w:rsidRPr="00207D95">
        <w:rPr>
          <w:rFonts w:ascii="Aptos" w:hAnsi="Aptos" w:cstheme="majorHAnsi"/>
          <w:color w:val="2B2B2B" w:themeColor="text1" w:themeTint="E6"/>
          <w:sz w:val="21"/>
          <w:szCs w:val="21"/>
          <w:lang w:val="es-AR"/>
        </w:rPr>
        <w:t>Excellence</w:t>
      </w:r>
      <w:proofErr w:type="spellEnd"/>
      <w:r w:rsidRPr="00207D95">
        <w:rPr>
          <w:rFonts w:ascii="Aptos" w:hAnsi="Aptos" w:cstheme="majorHAnsi"/>
          <w:color w:val="2B2B2B" w:themeColor="text1" w:themeTint="E6"/>
          <w:sz w:val="21"/>
          <w:szCs w:val="21"/>
          <w:lang w:val="es-AR"/>
        </w:rPr>
        <w:t>”</w:t>
      </w:r>
    </w:p>
    <w:p w14:paraId="7434AB86" w14:textId="77777777" w:rsidR="007C2224" w:rsidRPr="00207D95" w:rsidRDefault="007C2224" w:rsidP="006A3C74">
      <w:pPr>
        <w:pStyle w:val="Intropuntoelenco"/>
        <w:tabs>
          <w:tab w:val="left" w:pos="0"/>
        </w:tabs>
        <w:spacing w:after="0"/>
        <w:jc w:val="both"/>
        <w:rPr>
          <w:rFonts w:ascii="Aptos" w:hAnsi="Aptos" w:cstheme="majorHAnsi"/>
          <w:b/>
          <w:bCs/>
          <w:color w:val="C00000"/>
          <w:sz w:val="21"/>
          <w:szCs w:val="21"/>
          <w:lang w:val="es-AR"/>
        </w:rPr>
      </w:pPr>
    </w:p>
    <w:p w14:paraId="1FB826E2" w14:textId="52232ABA" w:rsidR="009B3736" w:rsidRPr="00207D95" w:rsidRDefault="00632C43" w:rsidP="006A374D">
      <w:pPr>
        <w:spacing w:line="276" w:lineRule="auto"/>
        <w:rPr>
          <w:rFonts w:ascii="Aptos" w:hAnsi="Aptos" w:cstheme="majorHAnsi"/>
          <w:color w:val="141414" w:themeColor="text1"/>
          <w:lang w:val="es-AR"/>
        </w:rPr>
      </w:pPr>
      <w:bookmarkStart w:id="0" w:name="_Hlk66275173"/>
      <w:proofErr w:type="gramStart"/>
      <w:r w:rsidRPr="00207D95">
        <w:rPr>
          <w:rFonts w:ascii="Aptos" w:hAnsi="Aptos" w:cstheme="majorHAnsi"/>
          <w:b/>
          <w:bCs/>
          <w:color w:val="141414" w:themeColor="text1"/>
          <w:lang w:val="es-AR"/>
        </w:rPr>
        <w:t>Link</w:t>
      </w:r>
      <w:proofErr w:type="gramEnd"/>
      <w:r w:rsidRPr="00207D95">
        <w:rPr>
          <w:rFonts w:ascii="Aptos" w:hAnsi="Aptos" w:cstheme="majorHAnsi"/>
          <w:b/>
          <w:bCs/>
          <w:color w:val="141414" w:themeColor="text1"/>
          <w:lang w:val="es-AR"/>
        </w:rPr>
        <w:t xml:space="preserve"> a fotos</w:t>
      </w:r>
      <w:r w:rsidR="000C59B0">
        <w:rPr>
          <w:rFonts w:ascii="Aptos" w:hAnsi="Aptos" w:cstheme="majorHAnsi"/>
          <w:b/>
          <w:bCs/>
          <w:color w:val="141414" w:themeColor="text1"/>
          <w:lang w:val="es-AR"/>
        </w:rPr>
        <w:t xml:space="preserve"> y tablas de referencia</w:t>
      </w:r>
      <w:r w:rsidRPr="00207D95">
        <w:rPr>
          <w:rFonts w:ascii="Aptos" w:hAnsi="Aptos" w:cstheme="majorHAnsi"/>
          <w:color w:val="141414" w:themeColor="text1"/>
          <w:lang w:val="es-AR"/>
        </w:rPr>
        <w:t xml:space="preserve">: </w:t>
      </w:r>
      <w:hyperlink r:id="rId11" w:history="1">
        <w:r w:rsidRPr="00207D95">
          <w:rPr>
            <w:rStyle w:val="Hipervnculo"/>
            <w:rFonts w:ascii="Aptos" w:hAnsi="Aptos" w:cstheme="majorHAnsi"/>
            <w:lang w:val="es-AR"/>
          </w:rPr>
          <w:t>Enlace</w:t>
        </w:r>
      </w:hyperlink>
    </w:p>
    <w:p w14:paraId="08B94F73" w14:textId="0A9AFCFB" w:rsidR="00632C43" w:rsidRDefault="00632C43" w:rsidP="006A374D">
      <w:pPr>
        <w:spacing w:line="276" w:lineRule="auto"/>
        <w:rPr>
          <w:rFonts w:ascii="Aptos" w:hAnsi="Aptos" w:cstheme="majorHAnsi"/>
          <w:color w:val="141414" w:themeColor="text1"/>
          <w:lang w:val="es-AR"/>
        </w:rPr>
      </w:pPr>
    </w:p>
    <w:p w14:paraId="701D0EFB" w14:textId="253E0696" w:rsidR="001A4F3A" w:rsidRDefault="001A4F3A" w:rsidP="007F0766">
      <w:pPr>
        <w:spacing w:line="276" w:lineRule="auto"/>
        <w:jc w:val="center"/>
        <w:rPr>
          <w:rFonts w:ascii="Aptos" w:hAnsi="Aptos" w:cstheme="majorHAnsi"/>
          <w:color w:val="141414" w:themeColor="text1"/>
          <w:lang w:val="es-AR"/>
        </w:rPr>
      </w:pPr>
      <w:r w:rsidRPr="001A4F3A">
        <w:rPr>
          <w:rFonts w:ascii="Aptos" w:hAnsi="Aptos" w:cstheme="majorHAnsi"/>
          <w:noProof/>
          <w:color w:val="141414" w:themeColor="text1"/>
          <w:lang w:val="es-AR"/>
        </w:rPr>
        <w:lastRenderedPageBreak/>
        <w:drawing>
          <wp:inline distT="0" distB="0" distL="0" distR="0" wp14:anchorId="578F7F1C" wp14:editId="3FED894F">
            <wp:extent cx="4324096" cy="4406699"/>
            <wp:effectExtent l="0" t="0" r="635" b="0"/>
            <wp:docPr id="143644315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43156" name="Imagen 1" descr="Tabla&#10;&#10;El contenido generado por IA puede ser incorrecto."/>
                    <pic:cNvPicPr/>
                  </pic:nvPicPr>
                  <pic:blipFill>
                    <a:blip r:embed="rId12"/>
                    <a:stretch>
                      <a:fillRect/>
                    </a:stretch>
                  </pic:blipFill>
                  <pic:spPr>
                    <a:xfrm>
                      <a:off x="0" y="0"/>
                      <a:ext cx="4329148" cy="4411848"/>
                    </a:xfrm>
                    <a:prstGeom prst="rect">
                      <a:avLst/>
                    </a:prstGeom>
                  </pic:spPr>
                </pic:pic>
              </a:graphicData>
            </a:graphic>
          </wp:inline>
        </w:drawing>
      </w:r>
    </w:p>
    <w:p w14:paraId="5667595E" w14:textId="77777777" w:rsidR="001A4F3A" w:rsidRPr="00207D95" w:rsidRDefault="001A4F3A" w:rsidP="006A374D">
      <w:pPr>
        <w:spacing w:line="276" w:lineRule="auto"/>
        <w:rPr>
          <w:rFonts w:ascii="Aptos" w:hAnsi="Aptos" w:cstheme="majorHAnsi"/>
          <w:color w:val="141414" w:themeColor="text1"/>
          <w:lang w:val="es-AR"/>
        </w:rPr>
      </w:pPr>
    </w:p>
    <w:p w14:paraId="41278E08" w14:textId="154BBE95" w:rsidR="00482DDF" w:rsidRPr="00207D95" w:rsidRDefault="00482DDF" w:rsidP="00482DDF">
      <w:pPr>
        <w:jc w:val="left"/>
        <w:rPr>
          <w:rFonts w:ascii="Aptos" w:hAnsi="Aptos" w:cstheme="majorHAnsi"/>
          <w:lang w:val="es-AR"/>
        </w:rPr>
      </w:pPr>
      <w:bookmarkStart w:id="1" w:name="_Hlk71307267"/>
      <w:bookmarkEnd w:id="0"/>
      <w:proofErr w:type="spellStart"/>
      <w:r>
        <w:rPr>
          <w:rFonts w:ascii="Aptos" w:hAnsi="Aptos" w:cstheme="majorHAnsi"/>
          <w:b/>
          <w:bCs/>
          <w:color w:val="141414" w:themeColor="text1"/>
          <w:lang w:val="es-AR"/>
        </w:rPr>
        <w:t>Milan</w:t>
      </w:r>
      <w:proofErr w:type="spellEnd"/>
      <w:r w:rsidR="00EB0E0E" w:rsidRPr="00207D95">
        <w:rPr>
          <w:rFonts w:ascii="Aptos" w:hAnsi="Aptos" w:cstheme="majorHAnsi"/>
          <w:b/>
          <w:bCs/>
          <w:color w:val="141414" w:themeColor="text1"/>
          <w:lang w:val="es-AR"/>
        </w:rPr>
        <w:t xml:space="preserve">, </w:t>
      </w:r>
      <w:r>
        <w:rPr>
          <w:rFonts w:ascii="Aptos" w:hAnsi="Aptos" w:cstheme="majorHAnsi"/>
          <w:b/>
          <w:bCs/>
          <w:color w:val="141414" w:themeColor="text1"/>
          <w:lang w:val="es-AR"/>
        </w:rPr>
        <w:t>1</w:t>
      </w:r>
      <w:r w:rsidR="009B2060">
        <w:rPr>
          <w:rFonts w:ascii="Aptos" w:hAnsi="Aptos" w:cstheme="majorHAnsi"/>
          <w:b/>
          <w:bCs/>
          <w:color w:val="141414" w:themeColor="text1"/>
          <w:lang w:val="es-AR"/>
        </w:rPr>
        <w:t>4</w:t>
      </w:r>
      <w:r w:rsidR="008E6069" w:rsidRPr="00207D95">
        <w:rPr>
          <w:rFonts w:ascii="Aptos" w:hAnsi="Aptos" w:cstheme="majorHAnsi"/>
          <w:b/>
          <w:bCs/>
          <w:color w:val="141414" w:themeColor="text1"/>
          <w:lang w:val="es-AR"/>
        </w:rPr>
        <w:t xml:space="preserve"> </w:t>
      </w:r>
      <w:r w:rsidR="00EB0E0E" w:rsidRPr="00207D95">
        <w:rPr>
          <w:rFonts w:ascii="Aptos" w:hAnsi="Aptos" w:cstheme="majorHAnsi"/>
          <w:b/>
          <w:bCs/>
          <w:color w:val="141414" w:themeColor="text1"/>
          <w:lang w:val="es-AR"/>
        </w:rPr>
        <w:t xml:space="preserve">de </w:t>
      </w:r>
      <w:r>
        <w:rPr>
          <w:rFonts w:ascii="Aptos" w:hAnsi="Aptos" w:cstheme="majorHAnsi"/>
          <w:b/>
          <w:bCs/>
          <w:color w:val="141414" w:themeColor="text1"/>
          <w:lang w:val="es-AR"/>
        </w:rPr>
        <w:t xml:space="preserve">marzo </w:t>
      </w:r>
      <w:r w:rsidR="00EB0E0E" w:rsidRPr="00207D95">
        <w:rPr>
          <w:rFonts w:ascii="Aptos" w:hAnsi="Aptos" w:cstheme="majorHAnsi"/>
          <w:b/>
          <w:bCs/>
          <w:color w:val="141414" w:themeColor="text1"/>
          <w:lang w:val="es-AR"/>
        </w:rPr>
        <w:t xml:space="preserve">de 2025 - </w:t>
      </w:r>
      <w:r w:rsidRPr="00207D95">
        <w:rPr>
          <w:rFonts w:ascii="Aptos" w:hAnsi="Aptos" w:cstheme="majorHAnsi"/>
          <w:lang w:val="es-AR"/>
        </w:rPr>
        <w:t xml:space="preserve">En una reunión presidida por Andrea </w:t>
      </w:r>
      <w:proofErr w:type="spellStart"/>
      <w:r w:rsidRPr="00207D95">
        <w:rPr>
          <w:rFonts w:ascii="Aptos" w:hAnsi="Aptos" w:cstheme="majorHAnsi"/>
          <w:lang w:val="es-AR"/>
        </w:rPr>
        <w:t>Sironi</w:t>
      </w:r>
      <w:proofErr w:type="spellEnd"/>
      <w:r w:rsidRPr="00207D95">
        <w:rPr>
          <w:rFonts w:ascii="Aptos" w:hAnsi="Aptos" w:cstheme="majorHAnsi"/>
          <w:lang w:val="es-AR"/>
        </w:rPr>
        <w:t>, el Consejo de Administración de Generali aprobó los estados financieros consolidados y el proyecto de estados financieros de la empresa matriz para el año 2024.</w:t>
      </w:r>
    </w:p>
    <w:p w14:paraId="36F23ACC" w14:textId="77777777" w:rsidR="00E8053A" w:rsidRPr="00207D95" w:rsidRDefault="00E8053A" w:rsidP="00EB0E0E">
      <w:pPr>
        <w:spacing w:line="276" w:lineRule="auto"/>
        <w:rPr>
          <w:rFonts w:ascii="Aptos" w:hAnsi="Aptos" w:cstheme="majorHAnsi"/>
          <w:lang w:val="es-AR"/>
        </w:rPr>
      </w:pPr>
    </w:p>
    <w:p w14:paraId="394057CC" w14:textId="1AB6313C" w:rsidR="00E8053A" w:rsidRPr="00E8053A" w:rsidRDefault="00E8053A" w:rsidP="00E8053A">
      <w:pPr>
        <w:jc w:val="left"/>
        <w:rPr>
          <w:rFonts w:ascii="Aptos" w:hAnsi="Aptos" w:cstheme="majorHAnsi"/>
          <w:lang w:val="es-AR"/>
        </w:rPr>
      </w:pPr>
      <w:r w:rsidRPr="00E8053A">
        <w:rPr>
          <w:rFonts w:ascii="Aptos" w:hAnsi="Aptos" w:cstheme="majorHAnsi"/>
          <w:lang w:val="es-AR"/>
        </w:rPr>
        <w:t xml:space="preserve">El CEO del Grupo Generali, </w:t>
      </w:r>
      <w:r w:rsidRPr="00E8053A">
        <w:rPr>
          <w:rFonts w:ascii="Aptos" w:hAnsi="Aptos" w:cstheme="majorHAnsi"/>
          <w:b/>
          <w:bCs/>
          <w:lang w:val="es-AR"/>
        </w:rPr>
        <w:t xml:space="preserve">Philippe </w:t>
      </w:r>
      <w:proofErr w:type="spellStart"/>
      <w:r w:rsidRPr="00E8053A">
        <w:rPr>
          <w:rFonts w:ascii="Aptos" w:hAnsi="Aptos" w:cstheme="majorHAnsi"/>
          <w:b/>
          <w:bCs/>
          <w:lang w:val="es-AR"/>
        </w:rPr>
        <w:t>Donnet</w:t>
      </w:r>
      <w:proofErr w:type="spellEnd"/>
      <w:r w:rsidRPr="00E8053A">
        <w:rPr>
          <w:rFonts w:ascii="Aptos" w:hAnsi="Aptos" w:cstheme="majorHAnsi"/>
          <w:lang w:val="es-AR"/>
        </w:rPr>
        <w:t>, dijo: “</w:t>
      </w:r>
      <w:r w:rsidRPr="00E8053A">
        <w:rPr>
          <w:rFonts w:ascii="Aptos" w:hAnsi="Aptos" w:cstheme="majorHAnsi"/>
          <w:i/>
          <w:iCs/>
          <w:lang w:val="es-AR"/>
        </w:rPr>
        <w:t>Generali logró excelentes resultados en 2024, superando nuestros objetivos financieros y cerrando exitosamente nuestro plan estratégico ‘</w:t>
      </w:r>
      <w:proofErr w:type="spellStart"/>
      <w:r w:rsidRPr="00E8053A">
        <w:rPr>
          <w:rFonts w:ascii="Aptos" w:hAnsi="Aptos" w:cstheme="majorHAnsi"/>
          <w:i/>
          <w:iCs/>
          <w:lang w:val="es-AR"/>
        </w:rPr>
        <w:t>Lifetime</w:t>
      </w:r>
      <w:proofErr w:type="spellEnd"/>
      <w:r w:rsidRPr="00E8053A">
        <w:rPr>
          <w:rFonts w:ascii="Aptos" w:hAnsi="Aptos" w:cstheme="majorHAnsi"/>
          <w:i/>
          <w:iCs/>
          <w:lang w:val="es-AR"/>
        </w:rPr>
        <w:t xml:space="preserve"> </w:t>
      </w:r>
      <w:proofErr w:type="spellStart"/>
      <w:r w:rsidRPr="00E8053A">
        <w:rPr>
          <w:rFonts w:ascii="Aptos" w:hAnsi="Aptos" w:cstheme="majorHAnsi"/>
          <w:i/>
          <w:iCs/>
          <w:lang w:val="es-AR"/>
        </w:rPr>
        <w:t>Partner</w:t>
      </w:r>
      <w:proofErr w:type="spellEnd"/>
      <w:r w:rsidRPr="00E8053A">
        <w:rPr>
          <w:rFonts w:ascii="Aptos" w:hAnsi="Aptos" w:cstheme="majorHAnsi"/>
          <w:i/>
          <w:iCs/>
          <w:lang w:val="es-AR"/>
        </w:rPr>
        <w:t xml:space="preserve"> 24: </w:t>
      </w:r>
      <w:proofErr w:type="spellStart"/>
      <w:r w:rsidRPr="00E8053A">
        <w:rPr>
          <w:rFonts w:ascii="Aptos" w:hAnsi="Aptos" w:cstheme="majorHAnsi"/>
          <w:i/>
          <w:iCs/>
          <w:lang w:val="es-AR"/>
        </w:rPr>
        <w:t>Driving</w:t>
      </w:r>
      <w:proofErr w:type="spellEnd"/>
      <w:r w:rsidRPr="00E8053A">
        <w:rPr>
          <w:rFonts w:ascii="Aptos" w:hAnsi="Aptos" w:cstheme="majorHAnsi"/>
          <w:i/>
          <w:iCs/>
          <w:lang w:val="es-AR"/>
        </w:rPr>
        <w:t xml:space="preserve"> </w:t>
      </w:r>
      <w:proofErr w:type="spellStart"/>
      <w:r w:rsidRPr="00E8053A">
        <w:rPr>
          <w:rFonts w:ascii="Aptos" w:hAnsi="Aptos" w:cstheme="majorHAnsi"/>
          <w:i/>
          <w:iCs/>
          <w:lang w:val="es-AR"/>
        </w:rPr>
        <w:t>Growth</w:t>
      </w:r>
      <w:proofErr w:type="spellEnd"/>
      <w:r w:rsidRPr="00E8053A">
        <w:rPr>
          <w:rFonts w:ascii="Aptos" w:hAnsi="Aptos" w:cstheme="majorHAnsi"/>
          <w:i/>
          <w:iCs/>
          <w:lang w:val="es-AR"/>
        </w:rPr>
        <w:t>’. Estos resultados reflejan aún más nuestra capacidad para asegurar un crecimiento orgánico consistente en cada segmento a través de las acciones de gestión que implementamos, mientras integramos exitosamente todos los negocios que hemos estado adquiriendo. El Grupo hoy está en la posición más fuerte de su historia, demostrado por nuestros resultados operativos y netos ajustados récord, logrados gracias a los esfuerzos y</w:t>
      </w:r>
      <w:r w:rsidR="004E2B21">
        <w:rPr>
          <w:rFonts w:ascii="Aptos" w:hAnsi="Aptos" w:cstheme="majorHAnsi"/>
          <w:i/>
          <w:iCs/>
          <w:lang w:val="es-AR"/>
        </w:rPr>
        <w:t xml:space="preserve"> el</w:t>
      </w:r>
      <w:r w:rsidRPr="00E8053A">
        <w:rPr>
          <w:rFonts w:ascii="Aptos" w:hAnsi="Aptos" w:cstheme="majorHAnsi"/>
          <w:i/>
          <w:iCs/>
          <w:lang w:val="es-AR"/>
        </w:rPr>
        <w:t xml:space="preserve"> compromiso de nuestra gente y red de distribución. Continuamos transformando y diversificando nuestro Grupo como un asegurador global integrado líder y gestor de activos y ahora estamos enfocados en acelerar nuestra búsqueda de la excelencia. Nuestro ambicioso nuevo plan ‘</w:t>
      </w:r>
      <w:proofErr w:type="spellStart"/>
      <w:r w:rsidRPr="00E8053A">
        <w:rPr>
          <w:rFonts w:ascii="Aptos" w:hAnsi="Aptos" w:cstheme="majorHAnsi"/>
          <w:i/>
          <w:iCs/>
          <w:lang w:val="es-AR"/>
        </w:rPr>
        <w:t>Lifetime</w:t>
      </w:r>
      <w:proofErr w:type="spellEnd"/>
      <w:r w:rsidRPr="00E8053A">
        <w:rPr>
          <w:rFonts w:ascii="Aptos" w:hAnsi="Aptos" w:cstheme="majorHAnsi"/>
          <w:i/>
          <w:iCs/>
          <w:lang w:val="es-AR"/>
        </w:rPr>
        <w:t xml:space="preserve"> </w:t>
      </w:r>
      <w:proofErr w:type="spellStart"/>
      <w:r w:rsidRPr="00E8053A">
        <w:rPr>
          <w:rFonts w:ascii="Aptos" w:hAnsi="Aptos" w:cstheme="majorHAnsi"/>
          <w:i/>
          <w:iCs/>
          <w:lang w:val="es-AR"/>
        </w:rPr>
        <w:t>Partner</w:t>
      </w:r>
      <w:proofErr w:type="spellEnd"/>
      <w:r w:rsidRPr="00E8053A">
        <w:rPr>
          <w:rFonts w:ascii="Aptos" w:hAnsi="Aptos" w:cstheme="majorHAnsi"/>
          <w:i/>
          <w:iCs/>
          <w:lang w:val="es-AR"/>
        </w:rPr>
        <w:t xml:space="preserve"> 27: </w:t>
      </w:r>
      <w:proofErr w:type="spellStart"/>
      <w:r w:rsidRPr="00E8053A">
        <w:rPr>
          <w:rFonts w:ascii="Aptos" w:hAnsi="Aptos" w:cstheme="majorHAnsi"/>
          <w:i/>
          <w:iCs/>
          <w:lang w:val="es-AR"/>
        </w:rPr>
        <w:t>Driving</w:t>
      </w:r>
      <w:proofErr w:type="spellEnd"/>
      <w:r w:rsidRPr="00E8053A">
        <w:rPr>
          <w:rFonts w:ascii="Aptos" w:hAnsi="Aptos" w:cstheme="majorHAnsi"/>
          <w:i/>
          <w:iCs/>
          <w:lang w:val="es-AR"/>
        </w:rPr>
        <w:t xml:space="preserve"> </w:t>
      </w:r>
      <w:proofErr w:type="spellStart"/>
      <w:r w:rsidRPr="00E8053A">
        <w:rPr>
          <w:rFonts w:ascii="Aptos" w:hAnsi="Aptos" w:cstheme="majorHAnsi"/>
          <w:i/>
          <w:iCs/>
          <w:lang w:val="es-AR"/>
        </w:rPr>
        <w:t>Excellence</w:t>
      </w:r>
      <w:proofErr w:type="spellEnd"/>
      <w:r w:rsidRPr="00E8053A">
        <w:rPr>
          <w:rFonts w:ascii="Aptos" w:hAnsi="Aptos" w:cstheme="majorHAnsi"/>
          <w:i/>
          <w:iCs/>
          <w:lang w:val="es-AR"/>
        </w:rPr>
        <w:t>’ impulsará un fuerte crecimiento de ganancias, generación sólida de efectivo y aumento de la remuneración a los accionistas. Esto se ve aún más impulsado por nuestras capacidades de IA y datos que mejoran nuestra capacidad para capturar consistentemente oportunidades derivadas de las necesidades cambiantes de los clientes y las tendencias emergentes</w:t>
      </w:r>
      <w:r w:rsidRPr="00E8053A">
        <w:rPr>
          <w:rFonts w:ascii="Aptos" w:hAnsi="Aptos" w:cstheme="majorHAnsi"/>
          <w:lang w:val="es-AR"/>
        </w:rPr>
        <w:t>.”</w:t>
      </w:r>
    </w:p>
    <w:p w14:paraId="3A808827" w14:textId="77777777" w:rsidR="006168A0" w:rsidRPr="00207D95" w:rsidRDefault="006168A0" w:rsidP="00A51B7C">
      <w:pPr>
        <w:jc w:val="left"/>
        <w:rPr>
          <w:rFonts w:ascii="Aptos" w:hAnsi="Aptos" w:cstheme="majorHAnsi"/>
          <w:lang w:val="es-AR"/>
        </w:rPr>
      </w:pPr>
    </w:p>
    <w:p w14:paraId="733C9C8E" w14:textId="77777777" w:rsidR="00A51B7C" w:rsidRPr="00207D95" w:rsidRDefault="00A51B7C" w:rsidP="00A51B7C">
      <w:pPr>
        <w:jc w:val="left"/>
        <w:rPr>
          <w:rFonts w:ascii="Aptos" w:hAnsi="Aptos" w:cstheme="majorHAnsi"/>
          <w:lang w:val="es-AR"/>
        </w:rPr>
      </w:pPr>
      <w:r w:rsidRPr="00207D95">
        <w:rPr>
          <w:rFonts w:ascii="Aptos" w:hAnsi="Aptos" w:cstheme="majorHAnsi"/>
          <w:lang w:val="es-AR"/>
        </w:rPr>
        <w:t xml:space="preserve">Las </w:t>
      </w:r>
      <w:r w:rsidRPr="006168A0">
        <w:rPr>
          <w:rFonts w:ascii="Aptos" w:hAnsi="Aptos" w:cstheme="majorHAnsi"/>
          <w:b/>
          <w:bCs/>
          <w:lang w:val="es-AR"/>
        </w:rPr>
        <w:t xml:space="preserve">primas emitidas brutas </w:t>
      </w:r>
      <w:r w:rsidRPr="00207D95">
        <w:rPr>
          <w:rFonts w:ascii="Aptos" w:hAnsi="Aptos" w:cstheme="majorHAnsi"/>
          <w:lang w:val="es-AR"/>
        </w:rPr>
        <w:t>aumentaron a € 95,2 mil millones (+14,9%), gracias al crecimiento significativo tanto en Vida como en P&amp;C.</w:t>
      </w:r>
    </w:p>
    <w:p w14:paraId="774EF3B6" w14:textId="77777777" w:rsidR="00A51B7C" w:rsidRPr="00207D95" w:rsidRDefault="00A51B7C" w:rsidP="00A51B7C">
      <w:pPr>
        <w:jc w:val="left"/>
        <w:rPr>
          <w:rFonts w:ascii="Aptos" w:hAnsi="Aptos" w:cstheme="majorHAnsi"/>
          <w:lang w:val="es-AR"/>
        </w:rPr>
      </w:pPr>
    </w:p>
    <w:p w14:paraId="2AE87E56" w14:textId="77777777" w:rsidR="00A51B7C" w:rsidRPr="00207D95" w:rsidRDefault="00A51B7C" w:rsidP="00A51B7C">
      <w:pPr>
        <w:jc w:val="left"/>
        <w:rPr>
          <w:rFonts w:ascii="Aptos" w:hAnsi="Aptos" w:cstheme="majorHAnsi"/>
          <w:lang w:val="es-AR"/>
        </w:rPr>
      </w:pPr>
      <w:r w:rsidRPr="00207D95">
        <w:rPr>
          <w:rFonts w:ascii="Aptos" w:hAnsi="Aptos" w:cstheme="majorHAnsi"/>
          <w:lang w:val="es-AR"/>
        </w:rPr>
        <w:t xml:space="preserve">Los </w:t>
      </w:r>
      <w:r w:rsidRPr="00D36523">
        <w:rPr>
          <w:rFonts w:ascii="Aptos" w:hAnsi="Aptos" w:cstheme="majorHAnsi"/>
          <w:b/>
          <w:bCs/>
          <w:lang w:val="es-AR"/>
        </w:rPr>
        <w:t>flujos netos de Vida</w:t>
      </w:r>
      <w:r w:rsidRPr="00207D95">
        <w:rPr>
          <w:rFonts w:ascii="Aptos" w:hAnsi="Aptos" w:cstheme="majorHAnsi"/>
          <w:lang w:val="es-AR"/>
        </w:rPr>
        <w:t xml:space="preserve"> fueron muy positivos en € 9,7 mil millones, impulsados completamente por protección y </w:t>
      </w:r>
      <w:proofErr w:type="spellStart"/>
      <w:r w:rsidRPr="00207D95">
        <w:rPr>
          <w:rFonts w:ascii="Aptos" w:hAnsi="Aptos" w:cstheme="majorHAnsi"/>
          <w:lang w:val="es-AR"/>
        </w:rPr>
        <w:t>unit-linked</w:t>
      </w:r>
      <w:proofErr w:type="spellEnd"/>
      <w:r w:rsidRPr="00207D95">
        <w:rPr>
          <w:rFonts w:ascii="Aptos" w:hAnsi="Aptos" w:cstheme="majorHAnsi"/>
          <w:lang w:val="es-AR"/>
        </w:rPr>
        <w:t>, en línea con la estrategia del Grupo, reflejando la fuerte oferta de productos y la red de distribución altamente efectiva del Grupo.</w:t>
      </w:r>
    </w:p>
    <w:p w14:paraId="34436E67" w14:textId="77777777" w:rsidR="00A51B7C" w:rsidRPr="00207D95" w:rsidRDefault="00A51B7C" w:rsidP="00A51B7C">
      <w:pPr>
        <w:jc w:val="left"/>
        <w:rPr>
          <w:rFonts w:ascii="Aptos" w:hAnsi="Aptos" w:cstheme="majorHAnsi"/>
          <w:lang w:val="es-AR"/>
        </w:rPr>
      </w:pPr>
    </w:p>
    <w:p w14:paraId="19EF31FF" w14:textId="77777777" w:rsidR="00A51B7C" w:rsidRPr="00207D95" w:rsidRDefault="00A51B7C" w:rsidP="00A51B7C">
      <w:pPr>
        <w:jc w:val="left"/>
        <w:rPr>
          <w:rFonts w:ascii="Aptos" w:hAnsi="Aptos" w:cstheme="majorHAnsi"/>
          <w:lang w:val="es-AR"/>
        </w:rPr>
      </w:pPr>
      <w:r w:rsidRPr="00207D95">
        <w:rPr>
          <w:rFonts w:ascii="Aptos" w:hAnsi="Aptos" w:cstheme="majorHAnsi"/>
          <w:lang w:val="es-AR"/>
        </w:rPr>
        <w:t xml:space="preserve">El </w:t>
      </w:r>
      <w:r w:rsidRPr="00D36523">
        <w:rPr>
          <w:rFonts w:ascii="Aptos" w:hAnsi="Aptos" w:cstheme="majorHAnsi"/>
          <w:b/>
          <w:bCs/>
          <w:lang w:val="es-AR"/>
        </w:rPr>
        <w:t>resultado operativo</w:t>
      </w:r>
      <w:r w:rsidRPr="00207D95">
        <w:rPr>
          <w:rFonts w:ascii="Aptos" w:hAnsi="Aptos" w:cstheme="majorHAnsi"/>
          <w:lang w:val="es-AR"/>
        </w:rPr>
        <w:t xml:space="preserve"> creció a un récord de € 7.295 millones (+8,2%), gracias al desempeño positivo de todos los segmentos de negocio, incluyendo una contribución significativa de Gestión de Activos y Patrimonios. Para Vida, el resultado operativo aumentó a € 3.982 millones (+6,6%) y el Valor del Nuevo Negocio mejoró a € 2.383 </w:t>
      </w:r>
      <w:r w:rsidRPr="00207D95">
        <w:rPr>
          <w:rFonts w:ascii="Aptos" w:hAnsi="Aptos" w:cstheme="majorHAnsi"/>
          <w:lang w:val="es-AR"/>
        </w:rPr>
        <w:lastRenderedPageBreak/>
        <w:t xml:space="preserve">millones (+2,3%). El resultado operativo de P&amp;C creció a € 3.052 millones (+5,1%) con el Ratio Combinado confirmado en 94,0% a pesar de un menor beneficio por descuento. El Ratio Combinado no descontado fue de 95,9%, logrando una mejora de 0,8 p.p. en comparación con FY2023. El resultado operativo de Gestión de Activos y Patrimonios aumentó significativamente a € 1.176 millones (+22,6%) gracias al continuo fuerte desempeño de Banca Generali y al creciente resultado de Gestión de Activos, que se benefició de la consolidación de </w:t>
      </w:r>
      <w:proofErr w:type="spellStart"/>
      <w:r w:rsidRPr="00207D95">
        <w:rPr>
          <w:rFonts w:ascii="Aptos" w:hAnsi="Aptos" w:cstheme="majorHAnsi"/>
          <w:lang w:val="es-AR"/>
        </w:rPr>
        <w:t>Conning</w:t>
      </w:r>
      <w:proofErr w:type="spellEnd"/>
      <w:r w:rsidRPr="00207D95">
        <w:rPr>
          <w:rFonts w:ascii="Aptos" w:hAnsi="Aptos" w:cstheme="majorHAnsi"/>
          <w:lang w:val="es-AR"/>
        </w:rPr>
        <w:t xml:space="preserve"> Holdings </w:t>
      </w:r>
      <w:proofErr w:type="spellStart"/>
      <w:r w:rsidRPr="00207D95">
        <w:rPr>
          <w:rFonts w:ascii="Aptos" w:hAnsi="Aptos" w:cstheme="majorHAnsi"/>
          <w:lang w:val="es-AR"/>
        </w:rPr>
        <w:t>Limited</w:t>
      </w:r>
      <w:proofErr w:type="spellEnd"/>
      <w:r w:rsidRPr="00207D95">
        <w:rPr>
          <w:rFonts w:ascii="Aptos" w:hAnsi="Aptos" w:cstheme="majorHAnsi"/>
          <w:lang w:val="es-AR"/>
        </w:rPr>
        <w:t xml:space="preserve"> (CHL). El resultado operativo del segmento de Holding y otros negocios fue de € -536 millones (€ -415 millones FY2023) principalmente debido a menores dividendos intragrupo.</w:t>
      </w:r>
    </w:p>
    <w:p w14:paraId="085DCF8B" w14:textId="77777777" w:rsidR="00A51B7C" w:rsidRPr="00207D95" w:rsidRDefault="00A51B7C" w:rsidP="00A51B7C">
      <w:pPr>
        <w:jc w:val="left"/>
        <w:rPr>
          <w:rFonts w:ascii="Aptos" w:hAnsi="Aptos" w:cstheme="majorHAnsi"/>
          <w:lang w:val="es-AR"/>
        </w:rPr>
      </w:pPr>
    </w:p>
    <w:p w14:paraId="11EFBB0D" w14:textId="134C2F5B" w:rsidR="00A51B7C" w:rsidRPr="00207D95" w:rsidRDefault="00A51B7C" w:rsidP="00A51B7C">
      <w:pPr>
        <w:jc w:val="left"/>
        <w:rPr>
          <w:rFonts w:ascii="Aptos" w:hAnsi="Aptos" w:cstheme="majorHAnsi"/>
          <w:lang w:val="es-AR"/>
        </w:rPr>
      </w:pPr>
      <w:r w:rsidRPr="00207D95">
        <w:rPr>
          <w:rFonts w:ascii="Aptos" w:hAnsi="Aptos" w:cstheme="majorHAnsi"/>
          <w:lang w:val="es-AR"/>
        </w:rPr>
        <w:t xml:space="preserve">El </w:t>
      </w:r>
      <w:r w:rsidRPr="00D36523">
        <w:rPr>
          <w:rFonts w:ascii="Aptos" w:hAnsi="Aptos" w:cstheme="majorHAnsi"/>
          <w:b/>
          <w:bCs/>
          <w:lang w:val="es-AR"/>
        </w:rPr>
        <w:t>resultado neto ajustado</w:t>
      </w:r>
      <w:r w:rsidRPr="00207D95">
        <w:rPr>
          <w:rFonts w:ascii="Aptos" w:hAnsi="Aptos" w:cstheme="majorHAnsi"/>
          <w:lang w:val="es-AR"/>
        </w:rPr>
        <w:t xml:space="preserve"> aumentó</w:t>
      </w:r>
      <w:r w:rsidR="00A94005" w:rsidRPr="007E50FD">
        <w:rPr>
          <w:rStyle w:val="Refdenotaalpie"/>
          <w:rFonts w:ascii="Aptos" w:hAnsi="Aptos" w:cstheme="majorHAnsi"/>
          <w:lang w:val="es-AR"/>
        </w:rPr>
        <w:footnoteReference w:id="2"/>
      </w:r>
      <w:r w:rsidRPr="00207D95">
        <w:rPr>
          <w:rFonts w:ascii="Aptos" w:hAnsi="Aptos" w:cstheme="majorHAnsi"/>
          <w:lang w:val="es-AR"/>
        </w:rPr>
        <w:t xml:space="preserve"> a € 3.769 millones (€ 3.575 millones FY2023) – un récord histórico – demostrando el efecto positivo de las fuentes de ganancias diversificadas del Grupo. Este resultado se logró a pesar de ganancias netas realizadas significativamente menores en comparación con FY2023. El resultado neto ascendió a € 3.724 millones (€ 3.747 millones FY2023) también debido a las ganancias de capital por disposiciones en 2023</w:t>
      </w:r>
      <w:r w:rsidR="00E102A8" w:rsidRPr="00207D95">
        <w:rPr>
          <w:rStyle w:val="Refdenotaalpie"/>
          <w:rFonts w:ascii="Aptos" w:hAnsi="Aptos" w:cstheme="majorHAnsi"/>
          <w:lang w:val="es-AR"/>
        </w:rPr>
        <w:footnoteReference w:id="3"/>
      </w:r>
      <w:r w:rsidRPr="00207D95">
        <w:rPr>
          <w:rFonts w:ascii="Aptos" w:hAnsi="Aptos" w:cstheme="majorHAnsi"/>
          <w:lang w:val="es-AR"/>
        </w:rPr>
        <w:t>.</w:t>
      </w:r>
    </w:p>
    <w:p w14:paraId="34E79400" w14:textId="77777777" w:rsidR="00A51B7C" w:rsidRPr="00207D95" w:rsidRDefault="00A51B7C" w:rsidP="00A51B7C">
      <w:pPr>
        <w:jc w:val="left"/>
        <w:rPr>
          <w:rFonts w:ascii="Aptos" w:hAnsi="Aptos" w:cstheme="majorHAnsi"/>
          <w:lang w:val="es-AR"/>
        </w:rPr>
      </w:pPr>
    </w:p>
    <w:p w14:paraId="33259945" w14:textId="77777777" w:rsidR="00A51B7C" w:rsidRPr="00207D95" w:rsidRDefault="00A51B7C" w:rsidP="00A51B7C">
      <w:pPr>
        <w:jc w:val="left"/>
        <w:rPr>
          <w:rFonts w:ascii="Aptos" w:hAnsi="Aptos" w:cstheme="majorHAnsi"/>
          <w:lang w:val="es-AR"/>
        </w:rPr>
      </w:pPr>
      <w:r w:rsidRPr="00207D95">
        <w:rPr>
          <w:rFonts w:ascii="Aptos" w:hAnsi="Aptos" w:cstheme="majorHAnsi"/>
          <w:lang w:val="es-AR"/>
        </w:rPr>
        <w:t xml:space="preserve">El </w:t>
      </w:r>
      <w:r w:rsidRPr="00D36523">
        <w:rPr>
          <w:rFonts w:ascii="Aptos" w:hAnsi="Aptos" w:cstheme="majorHAnsi"/>
          <w:b/>
          <w:bCs/>
          <w:lang w:val="es-AR"/>
        </w:rPr>
        <w:t>patrimonio neto de los accionistas del Grupo</w:t>
      </w:r>
      <w:r w:rsidRPr="00207D95">
        <w:rPr>
          <w:rFonts w:ascii="Aptos" w:hAnsi="Aptos" w:cstheme="majorHAnsi"/>
          <w:lang w:val="es-AR"/>
        </w:rPr>
        <w:t xml:space="preserve"> aumentó a € 30,4 mil millones (+4,9%), gracias al resultado neto del período, parcialmente compensado por el pago de dividendos de 2023.</w:t>
      </w:r>
    </w:p>
    <w:p w14:paraId="4475BAAB" w14:textId="77777777" w:rsidR="00A51B7C" w:rsidRPr="00207D95" w:rsidRDefault="00A51B7C" w:rsidP="00A51B7C">
      <w:pPr>
        <w:jc w:val="left"/>
        <w:rPr>
          <w:rFonts w:ascii="Aptos" w:hAnsi="Aptos" w:cstheme="majorHAnsi"/>
          <w:lang w:val="es-AR"/>
        </w:rPr>
      </w:pPr>
    </w:p>
    <w:p w14:paraId="7386FA59" w14:textId="77777777" w:rsidR="00A51B7C" w:rsidRPr="00207D95" w:rsidRDefault="00A51B7C" w:rsidP="00A51B7C">
      <w:pPr>
        <w:jc w:val="left"/>
        <w:rPr>
          <w:rFonts w:ascii="Aptos" w:hAnsi="Aptos" w:cstheme="majorHAnsi"/>
          <w:lang w:val="es-AR"/>
        </w:rPr>
      </w:pPr>
      <w:r w:rsidRPr="00207D95">
        <w:rPr>
          <w:rFonts w:ascii="Aptos" w:hAnsi="Aptos" w:cstheme="majorHAnsi"/>
          <w:lang w:val="es-AR"/>
        </w:rPr>
        <w:t xml:space="preserve">El </w:t>
      </w:r>
      <w:r w:rsidRPr="00D36523">
        <w:rPr>
          <w:rFonts w:ascii="Aptos" w:hAnsi="Aptos" w:cstheme="majorHAnsi"/>
          <w:b/>
          <w:bCs/>
          <w:lang w:val="es-AR"/>
        </w:rPr>
        <w:t>Margen del Servicio Contractual (CSM)</w:t>
      </w:r>
      <w:r w:rsidRPr="00207D95">
        <w:rPr>
          <w:rFonts w:ascii="Aptos" w:hAnsi="Aptos" w:cstheme="majorHAnsi"/>
          <w:lang w:val="es-AR"/>
        </w:rPr>
        <w:t xml:space="preserve"> se situó en € 31,2 mil millones (€ 31,8 mil millones FY2023).</w:t>
      </w:r>
    </w:p>
    <w:p w14:paraId="1C3F2C6F" w14:textId="77777777" w:rsidR="00A51B7C" w:rsidRPr="00207D95" w:rsidRDefault="00A51B7C" w:rsidP="00A51B7C">
      <w:pPr>
        <w:jc w:val="left"/>
        <w:rPr>
          <w:rFonts w:ascii="Aptos" w:hAnsi="Aptos" w:cstheme="majorHAnsi"/>
          <w:lang w:val="es-AR"/>
        </w:rPr>
      </w:pPr>
    </w:p>
    <w:p w14:paraId="3E985ACB" w14:textId="7EEEE5E4" w:rsidR="00A51B7C" w:rsidRPr="00207D95" w:rsidRDefault="00A51B7C" w:rsidP="00A51B7C">
      <w:pPr>
        <w:jc w:val="left"/>
        <w:rPr>
          <w:rFonts w:ascii="Aptos" w:hAnsi="Aptos" w:cstheme="majorHAnsi"/>
          <w:lang w:val="es-AR"/>
        </w:rPr>
      </w:pPr>
      <w:r w:rsidRPr="00207D95">
        <w:rPr>
          <w:rFonts w:ascii="Aptos" w:hAnsi="Aptos" w:cstheme="majorHAnsi"/>
          <w:lang w:val="es-AR"/>
        </w:rPr>
        <w:t xml:space="preserve">Los </w:t>
      </w:r>
      <w:r w:rsidRPr="00906007">
        <w:rPr>
          <w:rFonts w:ascii="Aptos" w:hAnsi="Aptos" w:cstheme="majorHAnsi"/>
          <w:b/>
          <w:bCs/>
          <w:lang w:val="es-AR"/>
        </w:rPr>
        <w:t>Activos Totales Bajo Gestión (AUM</w:t>
      </w:r>
      <w:r w:rsidR="00906007">
        <w:rPr>
          <w:rFonts w:ascii="Aptos" w:hAnsi="Aptos" w:cstheme="majorHAnsi"/>
          <w:b/>
          <w:bCs/>
          <w:lang w:val="es-AR"/>
        </w:rPr>
        <w:t>; según sus siglas en inglés</w:t>
      </w:r>
      <w:r w:rsidRPr="00906007">
        <w:rPr>
          <w:rFonts w:ascii="Aptos" w:hAnsi="Aptos" w:cstheme="majorHAnsi"/>
          <w:b/>
          <w:bCs/>
          <w:lang w:val="es-AR"/>
        </w:rPr>
        <w:t>)</w:t>
      </w:r>
      <w:r w:rsidRPr="00207D95">
        <w:rPr>
          <w:rFonts w:ascii="Aptos" w:hAnsi="Aptos" w:cstheme="majorHAnsi"/>
          <w:lang w:val="es-AR"/>
        </w:rPr>
        <w:t xml:space="preserve"> del Grupo crecieron significativamente a € 863,0 mil millones (+31,6% en comparación con FY2023) reflejando principalmente la inclusión de los AUM de CHL y flujos netos positivos.</w:t>
      </w:r>
    </w:p>
    <w:p w14:paraId="75DFE79F" w14:textId="77777777" w:rsidR="00A51B7C" w:rsidRPr="00207D95" w:rsidRDefault="00A51B7C" w:rsidP="00A51B7C">
      <w:pPr>
        <w:jc w:val="left"/>
        <w:rPr>
          <w:rFonts w:ascii="Aptos" w:hAnsi="Aptos" w:cstheme="majorHAnsi"/>
          <w:lang w:val="es-AR"/>
        </w:rPr>
      </w:pPr>
    </w:p>
    <w:p w14:paraId="29C5C2B6" w14:textId="77777777" w:rsidR="00A51B7C" w:rsidRPr="00207D95" w:rsidRDefault="00A51B7C" w:rsidP="00A51B7C">
      <w:pPr>
        <w:jc w:val="left"/>
        <w:rPr>
          <w:rFonts w:ascii="Aptos" w:hAnsi="Aptos" w:cstheme="majorHAnsi"/>
          <w:lang w:val="es-AR"/>
        </w:rPr>
      </w:pPr>
      <w:r w:rsidRPr="00207D95">
        <w:rPr>
          <w:rFonts w:ascii="Aptos" w:hAnsi="Aptos" w:cstheme="majorHAnsi"/>
          <w:lang w:val="es-AR"/>
        </w:rPr>
        <w:t xml:space="preserve">El Grupo confirma su sólida posición de capital, con el </w:t>
      </w:r>
      <w:r w:rsidRPr="00906007">
        <w:rPr>
          <w:rFonts w:ascii="Aptos" w:hAnsi="Aptos" w:cstheme="majorHAnsi"/>
          <w:b/>
          <w:bCs/>
          <w:lang w:val="es-AR"/>
        </w:rPr>
        <w:t>Ratio de Solvencia</w:t>
      </w:r>
      <w:r w:rsidRPr="00207D95">
        <w:rPr>
          <w:rFonts w:ascii="Aptos" w:hAnsi="Aptos" w:cstheme="majorHAnsi"/>
          <w:lang w:val="es-AR"/>
        </w:rPr>
        <w:t xml:space="preserve"> en 210% (220% FY2023) con la disminución reflejando principalmente la adquisición de Liberty Seguros y el programa de recompra de acciones de € 500 millones completado en 2024.</w:t>
      </w:r>
    </w:p>
    <w:p w14:paraId="53464F6C" w14:textId="77777777" w:rsidR="00874DD8" w:rsidRPr="00207D95" w:rsidRDefault="00874DD8" w:rsidP="00A51B7C">
      <w:pPr>
        <w:jc w:val="left"/>
        <w:rPr>
          <w:rFonts w:ascii="Aptos" w:hAnsi="Aptos" w:cstheme="majorHAnsi"/>
          <w:lang w:val="es-AR"/>
        </w:rPr>
      </w:pPr>
    </w:p>
    <w:p w14:paraId="4CBBB63D" w14:textId="77777777" w:rsidR="00874DD8" w:rsidRPr="00207D95" w:rsidRDefault="00874DD8" w:rsidP="00A51B7C">
      <w:pPr>
        <w:jc w:val="left"/>
        <w:rPr>
          <w:rFonts w:ascii="Aptos" w:hAnsi="Aptos" w:cstheme="majorHAnsi"/>
          <w:lang w:val="es-AR"/>
        </w:rPr>
      </w:pPr>
    </w:p>
    <w:p w14:paraId="7420C140" w14:textId="77777777" w:rsidR="0056250E" w:rsidRPr="00C30672" w:rsidRDefault="00874DD8" w:rsidP="0056250E">
      <w:pPr>
        <w:pStyle w:val="Ttulo1"/>
        <w:spacing w:before="0" w:after="0"/>
        <w:jc w:val="both"/>
        <w:rPr>
          <w:rFonts w:ascii="Aptos" w:hAnsi="Aptos"/>
          <w:lang w:val="es-AR"/>
        </w:rPr>
      </w:pPr>
      <w:r w:rsidRPr="00C30672">
        <w:rPr>
          <w:rFonts w:ascii="Aptos" w:hAnsi="Aptos"/>
          <w:lang w:val="es-AR"/>
        </w:rPr>
        <w:t>EXITOSA FINALIZACIÓN DEL PLAN</w:t>
      </w:r>
    </w:p>
    <w:p w14:paraId="5788D00F" w14:textId="5B1C9F86" w:rsidR="00874DD8" w:rsidRPr="00C30672" w:rsidRDefault="00874DD8" w:rsidP="0056250E">
      <w:pPr>
        <w:pStyle w:val="Ttulo1"/>
        <w:spacing w:before="0" w:after="0"/>
        <w:jc w:val="both"/>
        <w:rPr>
          <w:rFonts w:ascii="Aptos" w:hAnsi="Aptos"/>
          <w:lang w:val="es-AR"/>
        </w:rPr>
      </w:pPr>
      <w:r w:rsidRPr="00C30672">
        <w:rPr>
          <w:rFonts w:ascii="Aptos" w:hAnsi="Aptos"/>
          <w:lang w:val="es-AR"/>
        </w:rPr>
        <w:t>“LIFETIME PARTNER 24: DRIVING GROWTH”</w:t>
      </w:r>
    </w:p>
    <w:p w14:paraId="1FC2FAFF" w14:textId="77777777" w:rsidR="0056250E" w:rsidRPr="00C30672" w:rsidRDefault="0056250E" w:rsidP="0056250E">
      <w:pPr>
        <w:rPr>
          <w:lang w:val="es-AR"/>
        </w:rPr>
      </w:pPr>
    </w:p>
    <w:p w14:paraId="36A2B37B" w14:textId="71108216" w:rsidR="00874DD8" w:rsidRPr="00207D95" w:rsidRDefault="00874DD8" w:rsidP="00874DD8">
      <w:pPr>
        <w:jc w:val="left"/>
        <w:rPr>
          <w:rFonts w:ascii="Aptos" w:hAnsi="Aptos" w:cstheme="majorHAnsi"/>
          <w:lang w:val="es-AR"/>
        </w:rPr>
      </w:pPr>
      <w:r w:rsidRPr="00207D95">
        <w:rPr>
          <w:rFonts w:ascii="Aptos" w:hAnsi="Aptos" w:cstheme="majorHAnsi"/>
          <w:lang w:val="es-AR"/>
        </w:rPr>
        <w:t xml:space="preserve">Gracias a los fuertes resultados logrados durante el período del plan, concluyendo con un excelente desempeño en el FY2024, Generali confirma que ha entregado exitosamente su plan estratégico 2022-2024, superando todos los </w:t>
      </w:r>
      <w:r w:rsidR="0056250E" w:rsidRPr="00207D95">
        <w:rPr>
          <w:rFonts w:ascii="Aptos" w:hAnsi="Aptos" w:cstheme="majorHAnsi"/>
          <w:lang w:val="es-AR"/>
        </w:rPr>
        <w:t xml:space="preserve">ambiciosos </w:t>
      </w:r>
      <w:r w:rsidRPr="00207D95">
        <w:rPr>
          <w:rFonts w:ascii="Aptos" w:hAnsi="Aptos" w:cstheme="majorHAnsi"/>
          <w:lang w:val="es-AR"/>
        </w:rPr>
        <w:t>objetivos:</w:t>
      </w:r>
    </w:p>
    <w:p w14:paraId="1ACC3BF8" w14:textId="77777777" w:rsidR="00874DD8" w:rsidRPr="00207D95" w:rsidRDefault="00874DD8" w:rsidP="00874DD8">
      <w:pPr>
        <w:jc w:val="left"/>
        <w:rPr>
          <w:rFonts w:ascii="Aptos" w:hAnsi="Aptos" w:cstheme="majorHAnsi"/>
          <w:lang w:val="es-AR"/>
        </w:rPr>
      </w:pPr>
    </w:p>
    <w:p w14:paraId="28255B1B" w14:textId="4F8408D0" w:rsidR="00874DD8" w:rsidRPr="00207D95" w:rsidRDefault="00874DD8" w:rsidP="00EF0598">
      <w:pPr>
        <w:pStyle w:val="Prrafodelista"/>
        <w:numPr>
          <w:ilvl w:val="0"/>
          <w:numId w:val="11"/>
        </w:numPr>
        <w:jc w:val="left"/>
        <w:rPr>
          <w:rFonts w:ascii="Aptos" w:hAnsi="Aptos" w:cstheme="majorHAnsi"/>
          <w:lang w:val="es-AR"/>
        </w:rPr>
      </w:pPr>
      <w:r w:rsidRPr="00207D95">
        <w:rPr>
          <w:rFonts w:ascii="Aptos" w:hAnsi="Aptos" w:cstheme="majorHAnsi"/>
          <w:lang w:val="es-AR"/>
        </w:rPr>
        <w:t>Fuerte crecimiento de ganancias del 11</w:t>
      </w:r>
      <w:r w:rsidR="0056250E">
        <w:rPr>
          <w:rFonts w:ascii="Aptos" w:hAnsi="Aptos" w:cstheme="majorHAnsi"/>
          <w:lang w:val="es-AR"/>
        </w:rPr>
        <w:t>,</w:t>
      </w:r>
      <w:r w:rsidRPr="00207D95">
        <w:rPr>
          <w:rFonts w:ascii="Aptos" w:hAnsi="Aptos" w:cstheme="majorHAnsi"/>
          <w:lang w:val="es-AR"/>
        </w:rPr>
        <w:t>3% CAGR de EPS</w:t>
      </w:r>
      <w:r w:rsidR="0056250E">
        <w:rPr>
          <w:rFonts w:ascii="Aptos" w:hAnsi="Aptos" w:cstheme="majorHAnsi"/>
          <w:lang w:val="es-AR"/>
        </w:rPr>
        <w:t xml:space="preserve"> (ganancias por acción)</w:t>
      </w:r>
      <w:r w:rsidRPr="00207D95">
        <w:rPr>
          <w:rFonts w:ascii="Aptos" w:hAnsi="Aptos" w:cstheme="majorHAnsi"/>
          <w:lang w:val="es-AR"/>
        </w:rPr>
        <w:t xml:space="preserve"> vs. rango objetivo 2021-24 de 6-8%</w:t>
      </w:r>
      <w:r w:rsidR="00EF0598" w:rsidRPr="00207D95">
        <w:rPr>
          <w:rStyle w:val="Refdenotaalpie"/>
          <w:rFonts w:ascii="Aptos" w:hAnsi="Aptos" w:cstheme="majorHAnsi"/>
          <w:lang w:val="es-AR"/>
        </w:rPr>
        <w:footnoteReference w:id="4"/>
      </w:r>
    </w:p>
    <w:p w14:paraId="3C24F59F" w14:textId="1804578A" w:rsidR="00874DD8" w:rsidRPr="00207D95" w:rsidRDefault="00874DD8" w:rsidP="00EF0598">
      <w:pPr>
        <w:pStyle w:val="Prrafodelista"/>
        <w:numPr>
          <w:ilvl w:val="0"/>
          <w:numId w:val="11"/>
        </w:numPr>
        <w:jc w:val="left"/>
        <w:rPr>
          <w:rFonts w:ascii="Aptos" w:hAnsi="Aptos" w:cstheme="majorHAnsi"/>
          <w:lang w:val="es-AR"/>
        </w:rPr>
      </w:pPr>
      <w:r w:rsidRPr="00207D95">
        <w:rPr>
          <w:rFonts w:ascii="Aptos" w:hAnsi="Aptos" w:cstheme="majorHAnsi"/>
          <w:lang w:val="es-AR"/>
        </w:rPr>
        <w:t>Aumento del flujo de caja acumulado del holding neto: € 9,6 mil millones (2022-24) vs. objetivo de más de € 8,5 mil millones</w:t>
      </w:r>
      <w:r w:rsidR="00850EA2" w:rsidRPr="00207D95">
        <w:rPr>
          <w:rStyle w:val="Refdenotaalpie"/>
          <w:rFonts w:ascii="Aptos" w:hAnsi="Aptos" w:cstheme="majorHAnsi"/>
          <w:lang w:val="es-AR"/>
        </w:rPr>
        <w:footnoteReference w:id="5"/>
      </w:r>
    </w:p>
    <w:p w14:paraId="70EFB44B" w14:textId="1F4929C7" w:rsidR="00874DD8" w:rsidRDefault="00874DD8" w:rsidP="00EF0598">
      <w:pPr>
        <w:pStyle w:val="Prrafodelista"/>
        <w:numPr>
          <w:ilvl w:val="0"/>
          <w:numId w:val="11"/>
        </w:numPr>
        <w:jc w:val="left"/>
        <w:rPr>
          <w:rFonts w:ascii="Aptos" w:hAnsi="Aptos" w:cstheme="majorHAnsi"/>
          <w:lang w:val="es-AR"/>
        </w:rPr>
      </w:pPr>
      <w:r w:rsidRPr="00207D95">
        <w:rPr>
          <w:rFonts w:ascii="Aptos" w:hAnsi="Aptos" w:cstheme="majorHAnsi"/>
          <w:lang w:val="es-AR"/>
        </w:rPr>
        <w:t>Mayor dividendo: € 5,5 mil millones de dividendos acumulados (2022-24) vs. objetivo de € 5,2-5,6 mil millones</w:t>
      </w:r>
      <w:r w:rsidR="00850EA2" w:rsidRPr="00207D95">
        <w:rPr>
          <w:rStyle w:val="Refdenotaalpie"/>
          <w:rFonts w:ascii="Aptos" w:hAnsi="Aptos" w:cstheme="majorHAnsi"/>
          <w:lang w:val="es-AR"/>
        </w:rPr>
        <w:footnoteReference w:id="6"/>
      </w:r>
      <w:r w:rsidRPr="00207D95">
        <w:rPr>
          <w:rFonts w:ascii="Aptos" w:hAnsi="Aptos" w:cstheme="majorHAnsi"/>
          <w:lang w:val="es-AR"/>
        </w:rPr>
        <w:t>. Esto se complementó con el total de € 1 mil millones de recompras de acciones ejecutadas en el período 2022-2024.</w:t>
      </w:r>
    </w:p>
    <w:p w14:paraId="2132CBB1" w14:textId="77777777" w:rsidR="00291677" w:rsidRPr="001A1637" w:rsidRDefault="00291677" w:rsidP="001A1637">
      <w:pPr>
        <w:jc w:val="left"/>
        <w:rPr>
          <w:rFonts w:ascii="Aptos" w:hAnsi="Aptos" w:cstheme="majorHAnsi"/>
          <w:lang w:val="es-AR"/>
        </w:rPr>
      </w:pPr>
    </w:p>
    <w:p w14:paraId="36E491CA" w14:textId="77777777" w:rsidR="00874DD8" w:rsidRPr="00C30672" w:rsidRDefault="00874DD8" w:rsidP="001A1637">
      <w:pPr>
        <w:pStyle w:val="Ttulo1"/>
        <w:spacing w:before="0"/>
        <w:jc w:val="both"/>
        <w:rPr>
          <w:rFonts w:ascii="Aptos" w:hAnsi="Aptos"/>
          <w:lang w:val="es-AR"/>
        </w:rPr>
      </w:pPr>
      <w:r w:rsidRPr="00C30672">
        <w:rPr>
          <w:rFonts w:ascii="Aptos" w:hAnsi="Aptos"/>
          <w:lang w:val="es-AR"/>
        </w:rPr>
        <w:t>DIVIDENDO POR ACCIÓN</w:t>
      </w:r>
    </w:p>
    <w:p w14:paraId="66DF83C2" w14:textId="77777777" w:rsidR="00874DD8" w:rsidRPr="00207D95" w:rsidRDefault="00874DD8" w:rsidP="00874DD8">
      <w:pPr>
        <w:jc w:val="left"/>
        <w:rPr>
          <w:rFonts w:ascii="Aptos" w:hAnsi="Aptos" w:cstheme="majorHAnsi"/>
          <w:lang w:val="es-AR"/>
        </w:rPr>
      </w:pPr>
      <w:r w:rsidRPr="00207D95">
        <w:rPr>
          <w:rFonts w:ascii="Aptos" w:hAnsi="Aptos" w:cstheme="majorHAnsi"/>
          <w:lang w:val="es-AR"/>
        </w:rPr>
        <w:t xml:space="preserve">El </w:t>
      </w:r>
      <w:r w:rsidRPr="001A1637">
        <w:rPr>
          <w:rFonts w:ascii="Aptos" w:hAnsi="Aptos" w:cstheme="majorHAnsi"/>
          <w:b/>
          <w:bCs/>
          <w:lang w:val="es-AR"/>
        </w:rPr>
        <w:t>dividendo por acción</w:t>
      </w:r>
      <w:r w:rsidRPr="00207D95">
        <w:rPr>
          <w:rFonts w:ascii="Aptos" w:hAnsi="Aptos" w:cstheme="majorHAnsi"/>
          <w:lang w:val="es-AR"/>
        </w:rPr>
        <w:t xml:space="preserve">, que se propondrá en la próxima Asamblea General Anual, es de € 1,43 pagadero a partir del 21 de mayo de 2025, mientras que las acciones se negociarán </w:t>
      </w:r>
      <w:proofErr w:type="spellStart"/>
      <w:r w:rsidRPr="00207D95">
        <w:rPr>
          <w:rFonts w:ascii="Aptos" w:hAnsi="Aptos" w:cstheme="majorHAnsi"/>
          <w:lang w:val="es-AR"/>
        </w:rPr>
        <w:t>ex-dividendo</w:t>
      </w:r>
      <w:proofErr w:type="spellEnd"/>
      <w:r w:rsidRPr="00207D95">
        <w:rPr>
          <w:rFonts w:ascii="Aptos" w:hAnsi="Aptos" w:cstheme="majorHAnsi"/>
          <w:lang w:val="es-AR"/>
        </w:rPr>
        <w:t xml:space="preserve"> a partir del 19 de mayo de 2025.</w:t>
      </w:r>
    </w:p>
    <w:p w14:paraId="27CE9467" w14:textId="10C48DE6" w:rsidR="00874DD8" w:rsidRPr="00207D95" w:rsidRDefault="00874DD8" w:rsidP="00874DD8">
      <w:pPr>
        <w:jc w:val="left"/>
        <w:rPr>
          <w:rFonts w:ascii="Aptos" w:hAnsi="Aptos" w:cstheme="majorHAnsi"/>
          <w:lang w:val="es-AR"/>
        </w:rPr>
      </w:pPr>
      <w:r w:rsidRPr="00207D95">
        <w:rPr>
          <w:rFonts w:ascii="Aptos" w:hAnsi="Aptos" w:cstheme="majorHAnsi"/>
          <w:lang w:val="es-AR"/>
        </w:rPr>
        <w:lastRenderedPageBreak/>
        <w:t>Esto representa un aumento del 11</w:t>
      </w:r>
      <w:r w:rsidR="0083648C">
        <w:rPr>
          <w:rFonts w:ascii="Aptos" w:hAnsi="Aptos" w:cstheme="majorHAnsi"/>
          <w:lang w:val="es-AR"/>
        </w:rPr>
        <w:t>,</w:t>
      </w:r>
      <w:r w:rsidRPr="00207D95">
        <w:rPr>
          <w:rFonts w:ascii="Aptos" w:hAnsi="Aptos" w:cstheme="majorHAnsi"/>
          <w:lang w:val="es-AR"/>
        </w:rPr>
        <w:t>7% en comparación con el año anterior, reflejando los excelentes resultados del Grupo, la fuerte posición de efectivo y capital y el creciente enfoque en los retornos a los accionistas.</w:t>
      </w:r>
    </w:p>
    <w:p w14:paraId="3B1FEE9D" w14:textId="77777777" w:rsidR="00874DD8" w:rsidRPr="00207D95" w:rsidRDefault="00874DD8" w:rsidP="00874DD8">
      <w:pPr>
        <w:jc w:val="left"/>
        <w:rPr>
          <w:rFonts w:ascii="Aptos" w:hAnsi="Aptos" w:cstheme="majorHAnsi"/>
          <w:lang w:val="es-AR"/>
        </w:rPr>
      </w:pPr>
    </w:p>
    <w:p w14:paraId="5311C38B" w14:textId="7568B3CA" w:rsidR="00874DD8" w:rsidRPr="00207D95" w:rsidRDefault="00874DD8" w:rsidP="00874DD8">
      <w:pPr>
        <w:jc w:val="left"/>
        <w:rPr>
          <w:rFonts w:ascii="Aptos" w:hAnsi="Aptos" w:cstheme="majorHAnsi"/>
          <w:lang w:val="es-AR"/>
        </w:rPr>
      </w:pPr>
      <w:r w:rsidRPr="00207D95">
        <w:rPr>
          <w:rFonts w:ascii="Aptos" w:hAnsi="Aptos" w:cstheme="majorHAnsi"/>
          <w:lang w:val="es-AR"/>
        </w:rPr>
        <w:t>La propuesta de dividendo representa un pago total máximo de € 2</w:t>
      </w:r>
      <w:r w:rsidR="0083648C">
        <w:rPr>
          <w:rFonts w:ascii="Aptos" w:hAnsi="Aptos" w:cstheme="majorHAnsi"/>
          <w:lang w:val="es-AR"/>
        </w:rPr>
        <w:t>.</w:t>
      </w:r>
      <w:r w:rsidRPr="00207D95">
        <w:rPr>
          <w:rFonts w:ascii="Aptos" w:hAnsi="Aptos" w:cstheme="majorHAnsi"/>
          <w:lang w:val="es-AR"/>
        </w:rPr>
        <w:t>172 millones.</w:t>
      </w:r>
    </w:p>
    <w:p w14:paraId="569A655C" w14:textId="77777777" w:rsidR="00874DD8" w:rsidRPr="00207D95" w:rsidRDefault="00874DD8" w:rsidP="00A51B7C">
      <w:pPr>
        <w:jc w:val="left"/>
        <w:rPr>
          <w:rFonts w:ascii="Aptos" w:hAnsi="Aptos" w:cstheme="majorHAnsi"/>
          <w:lang w:val="es-AR"/>
        </w:rPr>
      </w:pPr>
    </w:p>
    <w:p w14:paraId="65407706" w14:textId="2C53D1F4" w:rsidR="00874DD8" w:rsidRPr="00207D95" w:rsidRDefault="00874DD8" w:rsidP="00A51B7C">
      <w:pPr>
        <w:jc w:val="left"/>
        <w:rPr>
          <w:rFonts w:ascii="Aptos" w:hAnsi="Aptos" w:cstheme="majorHAnsi"/>
          <w:lang w:val="es-AR"/>
        </w:rPr>
      </w:pPr>
    </w:p>
    <w:p w14:paraId="173BF24C" w14:textId="77777777" w:rsidR="003D18F1" w:rsidRPr="001A1637" w:rsidRDefault="003D18F1" w:rsidP="001A1637">
      <w:pPr>
        <w:pStyle w:val="Ttulo1"/>
        <w:spacing w:before="0"/>
        <w:jc w:val="both"/>
        <w:rPr>
          <w:rFonts w:ascii="Aptos" w:hAnsi="Aptos"/>
        </w:rPr>
      </w:pPr>
      <w:r w:rsidRPr="001A1637">
        <w:rPr>
          <w:rFonts w:ascii="Aptos" w:hAnsi="Aptos"/>
        </w:rPr>
        <w:t>VIDA</w:t>
      </w:r>
    </w:p>
    <w:p w14:paraId="71CB03A1" w14:textId="28BB3331" w:rsidR="003D18F1" w:rsidRPr="001A1637" w:rsidRDefault="003D18F1" w:rsidP="001A1637">
      <w:pPr>
        <w:pStyle w:val="Prrafodelista"/>
        <w:numPr>
          <w:ilvl w:val="0"/>
          <w:numId w:val="17"/>
        </w:numPr>
        <w:jc w:val="left"/>
        <w:rPr>
          <w:rFonts w:ascii="Aptos" w:hAnsi="Aptos" w:cstheme="majorHAnsi"/>
          <w:lang w:val="es-AR"/>
        </w:rPr>
      </w:pPr>
      <w:r w:rsidRPr="001A1637">
        <w:rPr>
          <w:rFonts w:ascii="Aptos" w:hAnsi="Aptos" w:cstheme="majorHAnsi"/>
          <w:lang w:val="es-AR"/>
        </w:rPr>
        <w:t>El resultado operativo aumentó a € 3.982 millones (+6,6%)</w:t>
      </w:r>
    </w:p>
    <w:p w14:paraId="14573645" w14:textId="28B5C2DF" w:rsidR="003D18F1" w:rsidRPr="001A1637" w:rsidRDefault="003D18F1" w:rsidP="001A1637">
      <w:pPr>
        <w:pStyle w:val="Prrafodelista"/>
        <w:numPr>
          <w:ilvl w:val="0"/>
          <w:numId w:val="17"/>
        </w:numPr>
        <w:jc w:val="left"/>
        <w:rPr>
          <w:rFonts w:ascii="Aptos" w:hAnsi="Aptos" w:cstheme="majorHAnsi"/>
          <w:lang w:val="es-AR"/>
        </w:rPr>
      </w:pPr>
      <w:r w:rsidRPr="001A1637">
        <w:rPr>
          <w:rFonts w:ascii="Aptos" w:hAnsi="Aptos" w:cstheme="majorHAnsi"/>
          <w:lang w:val="es-AR"/>
        </w:rPr>
        <w:t>El Margen del Nuevo Negocio fue de 4,60% (-1,19 p.p.)</w:t>
      </w:r>
    </w:p>
    <w:p w14:paraId="70C9B56D" w14:textId="410418D2" w:rsidR="003D18F1" w:rsidRDefault="003D18F1" w:rsidP="001A1637">
      <w:pPr>
        <w:pStyle w:val="Prrafodelista"/>
        <w:numPr>
          <w:ilvl w:val="0"/>
          <w:numId w:val="17"/>
        </w:numPr>
        <w:jc w:val="left"/>
        <w:rPr>
          <w:rFonts w:ascii="Aptos" w:hAnsi="Aptos" w:cstheme="majorHAnsi"/>
          <w:lang w:val="es-AR"/>
        </w:rPr>
      </w:pPr>
      <w:r w:rsidRPr="001A1637">
        <w:rPr>
          <w:rFonts w:ascii="Aptos" w:hAnsi="Aptos" w:cstheme="majorHAnsi"/>
          <w:lang w:val="es-AR"/>
        </w:rPr>
        <w:t>El Valor del Nuevo Negocio (NBV) creció a € 2.383 millones (+2,3%)</w:t>
      </w:r>
    </w:p>
    <w:p w14:paraId="40DCF587" w14:textId="77777777" w:rsidR="001A1637" w:rsidRDefault="001A1637" w:rsidP="00576502">
      <w:pPr>
        <w:jc w:val="left"/>
        <w:rPr>
          <w:rFonts w:ascii="Aptos" w:hAnsi="Aptos" w:cstheme="majorHAnsi"/>
          <w:lang w:val="es-AR"/>
        </w:rPr>
      </w:pPr>
    </w:p>
    <w:p w14:paraId="559A7369" w14:textId="39FDC13C" w:rsidR="00576502" w:rsidRDefault="00576502" w:rsidP="00576502">
      <w:pPr>
        <w:jc w:val="center"/>
        <w:rPr>
          <w:rFonts w:ascii="Aptos" w:hAnsi="Aptos" w:cstheme="majorHAnsi"/>
          <w:lang w:val="es-AR"/>
        </w:rPr>
      </w:pPr>
      <w:r w:rsidRPr="00576502">
        <w:rPr>
          <w:rFonts w:ascii="Aptos" w:hAnsi="Aptos" w:cstheme="majorHAnsi"/>
          <w:noProof/>
          <w:lang w:val="es-AR"/>
        </w:rPr>
        <w:drawing>
          <wp:inline distT="0" distB="0" distL="0" distR="0" wp14:anchorId="56EAF65C" wp14:editId="19C2CA52">
            <wp:extent cx="3978234" cy="1817300"/>
            <wp:effectExtent l="0" t="0" r="3810" b="0"/>
            <wp:docPr id="121514621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46210" name="Imagen 1" descr="Tabla&#10;&#10;El contenido generado por IA puede ser incorrecto."/>
                    <pic:cNvPicPr/>
                  </pic:nvPicPr>
                  <pic:blipFill>
                    <a:blip r:embed="rId13"/>
                    <a:stretch>
                      <a:fillRect/>
                    </a:stretch>
                  </pic:blipFill>
                  <pic:spPr>
                    <a:xfrm>
                      <a:off x="0" y="0"/>
                      <a:ext cx="3990672" cy="1822982"/>
                    </a:xfrm>
                    <a:prstGeom prst="rect">
                      <a:avLst/>
                    </a:prstGeom>
                  </pic:spPr>
                </pic:pic>
              </a:graphicData>
            </a:graphic>
          </wp:inline>
        </w:drawing>
      </w:r>
    </w:p>
    <w:p w14:paraId="3E848E35" w14:textId="77777777" w:rsidR="00576502" w:rsidRPr="00576502" w:rsidRDefault="00576502" w:rsidP="00576502">
      <w:pPr>
        <w:jc w:val="left"/>
        <w:rPr>
          <w:rFonts w:ascii="Aptos" w:hAnsi="Aptos" w:cstheme="majorHAnsi"/>
          <w:lang w:val="es-AR"/>
        </w:rPr>
      </w:pPr>
    </w:p>
    <w:p w14:paraId="054217EE" w14:textId="77777777" w:rsidR="003D18F1" w:rsidRPr="00207D95" w:rsidRDefault="003D18F1" w:rsidP="003D18F1">
      <w:pPr>
        <w:jc w:val="left"/>
        <w:rPr>
          <w:rFonts w:ascii="Aptos" w:hAnsi="Aptos" w:cstheme="majorHAnsi"/>
          <w:lang w:val="es-AR"/>
        </w:rPr>
      </w:pPr>
      <w:r w:rsidRPr="00207D95">
        <w:rPr>
          <w:rFonts w:ascii="Aptos" w:hAnsi="Aptos" w:cstheme="majorHAnsi"/>
          <w:lang w:val="es-AR"/>
        </w:rPr>
        <w:t xml:space="preserve">Las </w:t>
      </w:r>
      <w:r w:rsidRPr="001A1637">
        <w:rPr>
          <w:rFonts w:ascii="Aptos" w:hAnsi="Aptos" w:cstheme="majorHAnsi"/>
          <w:b/>
          <w:bCs/>
          <w:lang w:val="es-AR"/>
        </w:rPr>
        <w:t>primas emitidas brutas en Vida</w:t>
      </w:r>
      <w:r w:rsidRPr="00207D95">
        <w:rPr>
          <w:rFonts w:ascii="Aptos" w:hAnsi="Aptos" w:cstheme="majorHAnsi"/>
          <w:lang w:val="es-AR"/>
        </w:rPr>
        <w:t xml:space="preserve"> crecieron significativamente a € 61,4 mil millones (+19,2%) impulsadas por fuertes desempeños en todas las líneas de negocio. La protección continuó su saludable trayectoria de crecimiento (+9,7%) en todos los principales países. Los ahorros mejoraron sustancialmente (+23,3%), principalmente gracias al desempeño en Italia, Francia y Asia. Los </w:t>
      </w:r>
      <w:proofErr w:type="spellStart"/>
      <w:r w:rsidRPr="00207D95">
        <w:rPr>
          <w:rFonts w:ascii="Aptos" w:hAnsi="Aptos" w:cstheme="majorHAnsi"/>
          <w:lang w:val="es-AR"/>
        </w:rPr>
        <w:t>unit-linked</w:t>
      </w:r>
      <w:proofErr w:type="spellEnd"/>
      <w:r w:rsidRPr="00207D95">
        <w:rPr>
          <w:rFonts w:ascii="Aptos" w:hAnsi="Aptos" w:cstheme="majorHAnsi"/>
          <w:lang w:val="es-AR"/>
        </w:rPr>
        <w:t xml:space="preserve"> registraron un fuerte crecimiento (+23,2%), liderados por Italia, Francia y Alemania.</w:t>
      </w:r>
    </w:p>
    <w:p w14:paraId="539CA65B" w14:textId="77777777" w:rsidR="003D18F1" w:rsidRPr="00207D95" w:rsidRDefault="003D18F1" w:rsidP="003D18F1">
      <w:pPr>
        <w:jc w:val="left"/>
        <w:rPr>
          <w:rFonts w:ascii="Aptos" w:hAnsi="Aptos" w:cstheme="majorHAnsi"/>
          <w:lang w:val="es-AR"/>
        </w:rPr>
      </w:pPr>
    </w:p>
    <w:p w14:paraId="55044E3C" w14:textId="534C3A77" w:rsidR="001A1637" w:rsidRDefault="003D18F1" w:rsidP="00A51B7C">
      <w:pPr>
        <w:jc w:val="left"/>
        <w:rPr>
          <w:rFonts w:ascii="Aptos" w:hAnsi="Aptos" w:cstheme="majorHAnsi"/>
          <w:lang w:val="es-AR"/>
        </w:rPr>
      </w:pPr>
      <w:r w:rsidRPr="00207D95">
        <w:rPr>
          <w:rFonts w:ascii="Aptos" w:hAnsi="Aptos" w:cstheme="majorHAnsi"/>
          <w:lang w:val="es-AR"/>
        </w:rPr>
        <w:t xml:space="preserve">Los </w:t>
      </w:r>
      <w:r w:rsidRPr="001A1637">
        <w:rPr>
          <w:rFonts w:ascii="Aptos" w:hAnsi="Aptos" w:cstheme="majorHAnsi"/>
          <w:b/>
          <w:bCs/>
          <w:lang w:val="es-AR"/>
        </w:rPr>
        <w:t>flujos netos de Vida</w:t>
      </w:r>
      <w:r w:rsidR="000151A5" w:rsidRPr="00207D95">
        <w:rPr>
          <w:rStyle w:val="Refdenotaalpie"/>
          <w:rFonts w:ascii="Aptos" w:hAnsi="Aptos" w:cstheme="majorHAnsi"/>
          <w:lang w:val="es-AR"/>
        </w:rPr>
        <w:footnoteReference w:id="7"/>
      </w:r>
      <w:r w:rsidRPr="00207D95">
        <w:rPr>
          <w:rFonts w:ascii="Aptos" w:hAnsi="Aptos" w:cstheme="majorHAnsi"/>
          <w:lang w:val="es-AR"/>
        </w:rPr>
        <w:t xml:space="preserve"> volvieron a una robusta recolección neta positiva en 2024 alcanzando € 9,7 mil millones. Las líneas de protección y </w:t>
      </w:r>
      <w:proofErr w:type="spellStart"/>
      <w:r w:rsidRPr="00207D95">
        <w:rPr>
          <w:rFonts w:ascii="Aptos" w:hAnsi="Aptos" w:cstheme="majorHAnsi"/>
          <w:lang w:val="es-AR"/>
        </w:rPr>
        <w:t>unit-linked</w:t>
      </w:r>
      <w:proofErr w:type="spellEnd"/>
      <w:r w:rsidRPr="00207D95">
        <w:rPr>
          <w:rFonts w:ascii="Aptos" w:hAnsi="Aptos" w:cstheme="majorHAnsi"/>
          <w:lang w:val="es-AR"/>
        </w:rPr>
        <w:t xml:space="preserve"> registraron flujos netos positivos, con los flujos de protección creciendo a € 5,2 mil millones, liderados por Italia, Francia y Asia, mientras que los flujos netos de </w:t>
      </w:r>
      <w:proofErr w:type="spellStart"/>
      <w:r w:rsidRPr="00207D95">
        <w:rPr>
          <w:rFonts w:ascii="Aptos" w:hAnsi="Aptos" w:cstheme="majorHAnsi"/>
          <w:lang w:val="es-AR"/>
        </w:rPr>
        <w:t>unit-linked</w:t>
      </w:r>
      <w:proofErr w:type="spellEnd"/>
      <w:r w:rsidRPr="00207D95">
        <w:rPr>
          <w:rFonts w:ascii="Aptos" w:hAnsi="Aptos" w:cstheme="majorHAnsi"/>
          <w:lang w:val="es-AR"/>
        </w:rPr>
        <w:t xml:space="preserve"> aumentaron a € 5,8 mil millones, también impulsados principalmente por Italia y Francia. Los flujos netos de ahorros y pensiones (€ -1,3 mil millones) mejoraron significativamente (€ -10,2 mil millones FY2023) beneficiándose también de las acciones comerciales implementadas desde 2023 y la normalización de las tasas de lapsos.</w:t>
      </w:r>
    </w:p>
    <w:p w14:paraId="2E6BC737" w14:textId="77777777" w:rsidR="001A1637" w:rsidRDefault="001A1637">
      <w:pPr>
        <w:jc w:val="left"/>
        <w:rPr>
          <w:rFonts w:ascii="Aptos" w:hAnsi="Aptos" w:cstheme="majorHAnsi"/>
          <w:lang w:val="es-AR"/>
        </w:rPr>
      </w:pPr>
      <w:r>
        <w:rPr>
          <w:rFonts w:ascii="Aptos" w:hAnsi="Aptos" w:cstheme="majorHAnsi"/>
          <w:lang w:val="es-AR"/>
        </w:rPr>
        <w:br w:type="page"/>
      </w:r>
    </w:p>
    <w:p w14:paraId="13FC5B6E" w14:textId="77777777" w:rsidR="00874DD8" w:rsidRPr="00207D95" w:rsidRDefault="00874DD8" w:rsidP="00A51B7C">
      <w:pPr>
        <w:jc w:val="left"/>
        <w:rPr>
          <w:rFonts w:ascii="Aptos" w:hAnsi="Aptos" w:cstheme="majorHAnsi"/>
          <w:lang w:val="es-AR"/>
        </w:rPr>
      </w:pPr>
    </w:p>
    <w:p w14:paraId="698B0F99" w14:textId="5E0D83E2" w:rsidR="00B12426" w:rsidRPr="00207D95" w:rsidRDefault="00B12426" w:rsidP="00B12426">
      <w:pPr>
        <w:jc w:val="left"/>
        <w:rPr>
          <w:rFonts w:ascii="Aptos" w:hAnsi="Aptos" w:cstheme="majorHAnsi"/>
          <w:lang w:val="es-AR"/>
        </w:rPr>
      </w:pPr>
      <w:r w:rsidRPr="001A1637">
        <w:rPr>
          <w:rFonts w:ascii="Aptos" w:hAnsi="Aptos" w:cstheme="majorHAnsi"/>
          <w:b/>
          <w:bCs/>
          <w:lang w:val="es-AR"/>
        </w:rPr>
        <w:t>Los volúmenes de nuevo negocio</w:t>
      </w:r>
      <w:r w:rsidRPr="00207D95">
        <w:rPr>
          <w:rFonts w:ascii="Aptos" w:hAnsi="Aptos" w:cstheme="majorHAnsi"/>
          <w:lang w:val="es-AR"/>
        </w:rPr>
        <w:t xml:space="preserve"> (expresados en términos de valor presente de las primas de nuevo negocio o </w:t>
      </w:r>
      <w:r w:rsidRPr="001A1637">
        <w:rPr>
          <w:rFonts w:ascii="Aptos" w:hAnsi="Aptos" w:cstheme="majorHAnsi"/>
          <w:b/>
          <w:bCs/>
          <w:lang w:val="es-AR"/>
        </w:rPr>
        <w:t>PVNBP</w:t>
      </w:r>
      <w:r w:rsidR="002F76F4">
        <w:rPr>
          <w:rFonts w:ascii="Aptos" w:hAnsi="Aptos" w:cstheme="majorHAnsi"/>
          <w:lang w:val="es-AR"/>
        </w:rPr>
        <w:t>; según sus siglas en inglés</w:t>
      </w:r>
      <w:r w:rsidRPr="00207D95">
        <w:rPr>
          <w:rFonts w:ascii="Aptos" w:hAnsi="Aptos" w:cstheme="majorHAnsi"/>
          <w:lang w:val="es-AR"/>
        </w:rPr>
        <w:t>) aumentaron significativamente a € 51,8 mil millones (+28,8%), gracias a:</w:t>
      </w:r>
    </w:p>
    <w:p w14:paraId="16E2442A" w14:textId="0EF5590B" w:rsidR="00B12426" w:rsidRPr="001A1637" w:rsidRDefault="00B12426" w:rsidP="001A1637">
      <w:pPr>
        <w:pStyle w:val="Prrafodelista"/>
        <w:numPr>
          <w:ilvl w:val="0"/>
          <w:numId w:val="19"/>
        </w:numPr>
        <w:jc w:val="left"/>
        <w:rPr>
          <w:rFonts w:ascii="Aptos" w:hAnsi="Aptos" w:cstheme="majorHAnsi"/>
          <w:lang w:val="es-AR"/>
        </w:rPr>
      </w:pPr>
      <w:r w:rsidRPr="001A1637">
        <w:rPr>
          <w:rFonts w:ascii="Aptos" w:hAnsi="Aptos" w:cstheme="majorHAnsi"/>
          <w:lang w:val="es-AR"/>
        </w:rPr>
        <w:t>la fuerte producción de ahorros en Italia, reflejando la efectividad de la estrategia comercial</w:t>
      </w:r>
    </w:p>
    <w:p w14:paraId="015DC219" w14:textId="7565C1A7" w:rsidR="00B12426" w:rsidRPr="001A1637" w:rsidRDefault="00B12426" w:rsidP="001A1637">
      <w:pPr>
        <w:pStyle w:val="Prrafodelista"/>
        <w:numPr>
          <w:ilvl w:val="0"/>
          <w:numId w:val="19"/>
        </w:numPr>
        <w:jc w:val="left"/>
        <w:rPr>
          <w:rFonts w:ascii="Aptos" w:hAnsi="Aptos" w:cstheme="majorHAnsi"/>
          <w:lang w:val="es-AR"/>
        </w:rPr>
      </w:pPr>
      <w:r w:rsidRPr="001A1637">
        <w:rPr>
          <w:rFonts w:ascii="Aptos" w:hAnsi="Aptos" w:cstheme="majorHAnsi"/>
          <w:lang w:val="es-AR"/>
        </w:rPr>
        <w:t>Francia, beneficiándose del impulso del mercado en productos híbridos</w:t>
      </w:r>
    </w:p>
    <w:p w14:paraId="3056C306" w14:textId="77777777" w:rsidR="001A1637" w:rsidRPr="001A1637" w:rsidRDefault="00B12426" w:rsidP="001A1637">
      <w:pPr>
        <w:pStyle w:val="Prrafodelista"/>
        <w:numPr>
          <w:ilvl w:val="0"/>
          <w:numId w:val="19"/>
        </w:numPr>
        <w:jc w:val="left"/>
        <w:rPr>
          <w:rFonts w:ascii="Aptos" w:hAnsi="Aptos" w:cstheme="majorHAnsi"/>
          <w:lang w:val="es-AR"/>
        </w:rPr>
      </w:pPr>
      <w:r w:rsidRPr="001A1637">
        <w:rPr>
          <w:rFonts w:ascii="Aptos" w:hAnsi="Aptos" w:cstheme="majorHAnsi"/>
          <w:lang w:val="es-AR"/>
        </w:rPr>
        <w:t>China, que registró volúmenes excepcionales en la primera mitad del año</w:t>
      </w:r>
    </w:p>
    <w:p w14:paraId="6A017A11" w14:textId="1A184689" w:rsidR="00B12426" w:rsidRPr="001A1637" w:rsidRDefault="00B12426" w:rsidP="001A1637">
      <w:pPr>
        <w:pStyle w:val="Prrafodelista"/>
        <w:numPr>
          <w:ilvl w:val="0"/>
          <w:numId w:val="19"/>
        </w:numPr>
        <w:jc w:val="left"/>
        <w:rPr>
          <w:rFonts w:ascii="Aptos" w:hAnsi="Aptos" w:cstheme="majorHAnsi"/>
          <w:lang w:val="es-AR"/>
        </w:rPr>
      </w:pPr>
      <w:r w:rsidRPr="001A1637">
        <w:rPr>
          <w:rFonts w:ascii="Aptos" w:hAnsi="Aptos" w:cstheme="majorHAnsi"/>
          <w:lang w:val="es-AR"/>
        </w:rPr>
        <w:t>el crecimiento del negocio de protección, amplificado por el tratamiento contable IFRS 17 del negocio de protección colectiva en Francia</w:t>
      </w:r>
      <w:r w:rsidR="000B53DF" w:rsidRPr="00207D95">
        <w:rPr>
          <w:rStyle w:val="Refdenotaalpie"/>
          <w:rFonts w:ascii="Aptos" w:hAnsi="Aptos" w:cstheme="majorHAnsi"/>
          <w:lang w:val="es-AR"/>
        </w:rPr>
        <w:footnoteReference w:id="8"/>
      </w:r>
      <w:r w:rsidRPr="001A1637">
        <w:rPr>
          <w:rFonts w:ascii="Aptos" w:hAnsi="Aptos" w:cstheme="majorHAnsi"/>
          <w:lang w:val="es-AR"/>
        </w:rPr>
        <w:t>. Después de neutralizar este efecto contable, sin implicaciones económicas reales, el PVNBP habría aumentado en un 23,2%.</w:t>
      </w:r>
    </w:p>
    <w:p w14:paraId="55B4DE56" w14:textId="77777777" w:rsidR="00B12426" w:rsidRPr="00207D95" w:rsidRDefault="00B12426" w:rsidP="00B12426">
      <w:pPr>
        <w:jc w:val="left"/>
        <w:rPr>
          <w:rFonts w:ascii="Aptos" w:hAnsi="Aptos" w:cstheme="majorHAnsi"/>
          <w:lang w:val="es-AR"/>
        </w:rPr>
      </w:pPr>
    </w:p>
    <w:p w14:paraId="16C26302" w14:textId="77777777" w:rsidR="00B12426" w:rsidRPr="00207D95" w:rsidRDefault="00B12426" w:rsidP="00B12426">
      <w:pPr>
        <w:jc w:val="left"/>
        <w:rPr>
          <w:rFonts w:ascii="Aptos" w:hAnsi="Aptos" w:cstheme="majorHAnsi"/>
          <w:lang w:val="es-AR"/>
        </w:rPr>
      </w:pPr>
      <w:r w:rsidRPr="00207D95">
        <w:rPr>
          <w:rFonts w:ascii="Aptos" w:hAnsi="Aptos" w:cstheme="majorHAnsi"/>
          <w:lang w:val="es-AR"/>
        </w:rPr>
        <w:t xml:space="preserve">El </w:t>
      </w:r>
      <w:r w:rsidRPr="001A1637">
        <w:rPr>
          <w:rFonts w:ascii="Aptos" w:hAnsi="Aptos" w:cstheme="majorHAnsi"/>
          <w:b/>
          <w:bCs/>
          <w:lang w:val="es-AR"/>
        </w:rPr>
        <w:t>Valor del Nuevo Negocio (NBV)</w:t>
      </w:r>
      <w:r w:rsidRPr="00207D95">
        <w:rPr>
          <w:rFonts w:ascii="Aptos" w:hAnsi="Aptos" w:cstheme="majorHAnsi"/>
          <w:lang w:val="es-AR"/>
        </w:rPr>
        <w:t xml:space="preserve"> aumentó a € 2.383 millones (+2,3%) apoyado por fuertes volúmenes. El </w:t>
      </w:r>
      <w:r w:rsidRPr="001A1637">
        <w:rPr>
          <w:rFonts w:ascii="Aptos" w:hAnsi="Aptos" w:cstheme="majorHAnsi"/>
          <w:b/>
          <w:bCs/>
          <w:lang w:val="es-AR"/>
        </w:rPr>
        <w:t>Margen del Nuevo Negocio (NBM)</w:t>
      </w:r>
      <w:r w:rsidRPr="00207D95">
        <w:rPr>
          <w:rFonts w:ascii="Aptos" w:hAnsi="Aptos" w:cstheme="majorHAnsi"/>
          <w:lang w:val="es-AR"/>
        </w:rPr>
        <w:t xml:space="preserve"> se situó en 4,60% (-1,19 p.p.). Después de neutralizar el efecto contable del negocio de protección en Francia, la reducción del NBM se habría limitado a aproximadamente -0,9 p.p., reflejando principalmente iniciativas comerciales en Italia (-0,5 p.p.), el efecto de tasas de interés más bajas (-0,3 p.p.) y otros efectos menores distribuidos en todo el Grupo.</w:t>
      </w:r>
    </w:p>
    <w:p w14:paraId="3A5D0E6E" w14:textId="77777777" w:rsidR="00B12426" w:rsidRPr="00207D95" w:rsidRDefault="00B12426" w:rsidP="00B12426">
      <w:pPr>
        <w:jc w:val="left"/>
        <w:rPr>
          <w:rFonts w:ascii="Aptos" w:hAnsi="Aptos" w:cstheme="majorHAnsi"/>
          <w:lang w:val="es-AR"/>
        </w:rPr>
      </w:pPr>
    </w:p>
    <w:p w14:paraId="1EFF6F79" w14:textId="77777777" w:rsidR="00B12426" w:rsidRPr="00207D95" w:rsidRDefault="00B12426" w:rsidP="00B12426">
      <w:pPr>
        <w:jc w:val="left"/>
        <w:rPr>
          <w:rFonts w:ascii="Aptos" w:hAnsi="Aptos" w:cstheme="majorHAnsi"/>
          <w:lang w:val="es-AR"/>
        </w:rPr>
      </w:pPr>
      <w:r w:rsidRPr="00207D95">
        <w:rPr>
          <w:rFonts w:ascii="Aptos" w:hAnsi="Aptos" w:cstheme="majorHAnsi"/>
          <w:lang w:val="es-AR"/>
        </w:rPr>
        <w:t xml:space="preserve">El </w:t>
      </w:r>
      <w:r w:rsidRPr="00192E9A">
        <w:rPr>
          <w:rFonts w:ascii="Aptos" w:hAnsi="Aptos" w:cstheme="majorHAnsi"/>
          <w:b/>
          <w:bCs/>
          <w:lang w:val="es-AR"/>
        </w:rPr>
        <w:t>Margen del Servicio Contractual de Vida</w:t>
      </w:r>
      <w:r w:rsidRPr="00207D95">
        <w:rPr>
          <w:rFonts w:ascii="Aptos" w:hAnsi="Aptos" w:cstheme="majorHAnsi"/>
          <w:lang w:val="es-AR"/>
        </w:rPr>
        <w:t xml:space="preserve"> (</w:t>
      </w:r>
      <w:proofErr w:type="spellStart"/>
      <w:r w:rsidRPr="00207D95">
        <w:rPr>
          <w:rFonts w:ascii="Aptos" w:hAnsi="Aptos" w:cstheme="majorHAnsi"/>
          <w:lang w:val="es-AR"/>
        </w:rPr>
        <w:t>Life</w:t>
      </w:r>
      <w:proofErr w:type="spellEnd"/>
      <w:r w:rsidRPr="00207D95">
        <w:rPr>
          <w:rFonts w:ascii="Aptos" w:hAnsi="Aptos" w:cstheme="majorHAnsi"/>
          <w:lang w:val="es-AR"/>
        </w:rPr>
        <w:t xml:space="preserve"> CSM) fue de € 30,3 mil millones (€ 30,9 mil millones FY2023). El CSM del Nuevo Negocio de Vida de € 2.827 millones, junto con el retorno esperado de € 1.757 millones, más que compensaron la liberación del CSM de Vida de € 2.986 millones. Este último también representó el principal impulsor (aproximadamente 75%) del </w:t>
      </w:r>
      <w:r w:rsidRPr="00192E9A">
        <w:rPr>
          <w:rFonts w:ascii="Aptos" w:hAnsi="Aptos" w:cstheme="majorHAnsi"/>
          <w:b/>
          <w:bCs/>
          <w:lang w:val="es-AR"/>
        </w:rPr>
        <w:t>resultado operativo</w:t>
      </w:r>
      <w:r w:rsidRPr="00207D95">
        <w:rPr>
          <w:rFonts w:ascii="Aptos" w:hAnsi="Aptos" w:cstheme="majorHAnsi"/>
          <w:lang w:val="es-AR"/>
        </w:rPr>
        <w:t>, que aumentó a € 3.982 millones (€ 3.735 millones FY2023). El Resultado de Inversión Operativa de Vida fue de € 943 millones (€ 833 millones FY2023).</w:t>
      </w:r>
    </w:p>
    <w:p w14:paraId="486442CF" w14:textId="77777777" w:rsidR="00B12426" w:rsidRPr="00207D95" w:rsidRDefault="00B12426" w:rsidP="00B12426">
      <w:pPr>
        <w:jc w:val="left"/>
        <w:rPr>
          <w:rFonts w:ascii="Aptos" w:hAnsi="Aptos" w:cstheme="majorHAnsi"/>
          <w:lang w:val="es-AR"/>
        </w:rPr>
      </w:pPr>
    </w:p>
    <w:p w14:paraId="44F86DE0" w14:textId="53D6881E" w:rsidR="00B12426" w:rsidRPr="00207D95" w:rsidRDefault="00B12426" w:rsidP="00B12426">
      <w:pPr>
        <w:jc w:val="left"/>
        <w:rPr>
          <w:rFonts w:ascii="Aptos" w:hAnsi="Aptos" w:cstheme="majorHAnsi"/>
          <w:lang w:val="es-AR"/>
        </w:rPr>
      </w:pPr>
      <w:r w:rsidRPr="00207D95">
        <w:rPr>
          <w:rFonts w:ascii="Aptos" w:hAnsi="Aptos" w:cstheme="majorHAnsi"/>
          <w:lang w:val="es-AR"/>
        </w:rPr>
        <w:t xml:space="preserve">Durante 2024, el Grupo continuó implementando una fuerte disciplina </w:t>
      </w:r>
      <w:r w:rsidR="004F05E2">
        <w:rPr>
          <w:rFonts w:ascii="Aptos" w:hAnsi="Aptos" w:cstheme="majorHAnsi"/>
          <w:lang w:val="es-AR"/>
        </w:rPr>
        <w:t>en políticas de</w:t>
      </w:r>
      <w:r w:rsidRPr="00207D95">
        <w:rPr>
          <w:rFonts w:ascii="Aptos" w:hAnsi="Aptos" w:cstheme="majorHAnsi"/>
          <w:lang w:val="es-AR"/>
        </w:rPr>
        <w:t xml:space="preserve"> suscripción en su cartera de Vida, con la participación de reservas sin garantías aumentando del 38,3% en FY2023 al 41,4% en FY2024. La garantía promedio en vigor disminuyó a 1,17%. La participación de reservas de bajo capital aumentó en 2,4 puntos porcentuales a 71,8%. Esta mejora continua en la calidad del libro en vigor proporciona bases sólidas para el plan “</w:t>
      </w:r>
      <w:proofErr w:type="spellStart"/>
      <w:r w:rsidRPr="00207D95">
        <w:rPr>
          <w:rFonts w:ascii="Aptos" w:hAnsi="Aptos" w:cstheme="majorHAnsi"/>
          <w:lang w:val="es-AR"/>
        </w:rPr>
        <w:t>Lifetime</w:t>
      </w:r>
      <w:proofErr w:type="spellEnd"/>
      <w:r w:rsidRPr="00207D95">
        <w:rPr>
          <w:rFonts w:ascii="Aptos" w:hAnsi="Aptos" w:cstheme="majorHAnsi"/>
          <w:lang w:val="es-AR"/>
        </w:rPr>
        <w:t xml:space="preserve"> </w:t>
      </w:r>
      <w:proofErr w:type="spellStart"/>
      <w:r w:rsidRPr="00207D95">
        <w:rPr>
          <w:rFonts w:ascii="Aptos" w:hAnsi="Aptos" w:cstheme="majorHAnsi"/>
          <w:lang w:val="es-AR"/>
        </w:rPr>
        <w:t>Partner</w:t>
      </w:r>
      <w:proofErr w:type="spellEnd"/>
      <w:r w:rsidRPr="00207D95">
        <w:rPr>
          <w:rFonts w:ascii="Aptos" w:hAnsi="Aptos" w:cstheme="majorHAnsi"/>
          <w:lang w:val="es-AR"/>
        </w:rPr>
        <w:t xml:space="preserve"> 27: </w:t>
      </w:r>
      <w:proofErr w:type="spellStart"/>
      <w:r w:rsidRPr="00207D95">
        <w:rPr>
          <w:rFonts w:ascii="Aptos" w:hAnsi="Aptos" w:cstheme="majorHAnsi"/>
          <w:lang w:val="es-AR"/>
        </w:rPr>
        <w:t>Driving</w:t>
      </w:r>
      <w:proofErr w:type="spellEnd"/>
      <w:r w:rsidRPr="00207D95">
        <w:rPr>
          <w:rFonts w:ascii="Aptos" w:hAnsi="Aptos" w:cstheme="majorHAnsi"/>
          <w:lang w:val="es-AR"/>
        </w:rPr>
        <w:t xml:space="preserve"> </w:t>
      </w:r>
      <w:proofErr w:type="spellStart"/>
      <w:r w:rsidRPr="00207D95">
        <w:rPr>
          <w:rFonts w:ascii="Aptos" w:hAnsi="Aptos" w:cstheme="majorHAnsi"/>
          <w:lang w:val="es-AR"/>
        </w:rPr>
        <w:t>Excellence</w:t>
      </w:r>
      <w:proofErr w:type="spellEnd"/>
      <w:r w:rsidRPr="00207D95">
        <w:rPr>
          <w:rFonts w:ascii="Aptos" w:hAnsi="Aptos" w:cstheme="majorHAnsi"/>
          <w:lang w:val="es-AR"/>
        </w:rPr>
        <w:t>”.</w:t>
      </w:r>
    </w:p>
    <w:p w14:paraId="5387AEC3" w14:textId="77777777" w:rsidR="00874DD8" w:rsidRPr="00207D95" w:rsidRDefault="00874DD8" w:rsidP="00A51B7C">
      <w:pPr>
        <w:jc w:val="left"/>
        <w:rPr>
          <w:rFonts w:ascii="Aptos" w:hAnsi="Aptos" w:cstheme="majorHAnsi"/>
          <w:lang w:val="es-AR"/>
        </w:rPr>
      </w:pPr>
    </w:p>
    <w:p w14:paraId="4A1C1843" w14:textId="77777777" w:rsidR="00874DD8" w:rsidRPr="00207D95" w:rsidRDefault="00874DD8" w:rsidP="00A51B7C">
      <w:pPr>
        <w:jc w:val="left"/>
        <w:rPr>
          <w:rFonts w:ascii="Aptos" w:hAnsi="Aptos" w:cstheme="majorHAnsi"/>
          <w:lang w:val="es-AR"/>
        </w:rPr>
      </w:pPr>
    </w:p>
    <w:p w14:paraId="10313659" w14:textId="086E4879" w:rsidR="0081476B" w:rsidRPr="00207D95" w:rsidRDefault="00E8053A">
      <w:pPr>
        <w:jc w:val="left"/>
        <w:rPr>
          <w:rFonts w:ascii="Aptos" w:hAnsi="Aptos" w:cstheme="majorHAnsi"/>
          <w:lang w:val="es-AR"/>
        </w:rPr>
      </w:pPr>
      <w:r w:rsidRPr="00207D95">
        <w:rPr>
          <w:rFonts w:ascii="Aptos" w:hAnsi="Aptos" w:cstheme="majorHAnsi"/>
          <w:lang w:val="es-AR"/>
        </w:rPr>
        <w:br w:type="page"/>
      </w:r>
    </w:p>
    <w:p w14:paraId="40D2E363" w14:textId="77777777" w:rsidR="0081476B" w:rsidRPr="00D91D73" w:rsidRDefault="0081476B" w:rsidP="00D91D73">
      <w:pPr>
        <w:pStyle w:val="Ttulo1"/>
        <w:spacing w:before="0"/>
        <w:jc w:val="both"/>
        <w:rPr>
          <w:rFonts w:ascii="Aptos" w:hAnsi="Aptos"/>
        </w:rPr>
      </w:pPr>
      <w:r w:rsidRPr="00D91D73">
        <w:rPr>
          <w:rFonts w:ascii="Aptos" w:hAnsi="Aptos"/>
        </w:rPr>
        <w:lastRenderedPageBreak/>
        <w:t>P&amp;C</w:t>
      </w:r>
    </w:p>
    <w:p w14:paraId="756A26A7" w14:textId="2B611EB1" w:rsidR="0081476B" w:rsidRPr="00D91D73" w:rsidRDefault="0081476B" w:rsidP="00D91D73">
      <w:pPr>
        <w:pStyle w:val="Prrafodelista"/>
        <w:numPr>
          <w:ilvl w:val="0"/>
          <w:numId w:val="20"/>
        </w:numPr>
        <w:jc w:val="left"/>
        <w:rPr>
          <w:rFonts w:ascii="Aptos" w:hAnsi="Aptos" w:cstheme="majorHAnsi"/>
          <w:lang w:val="es-AR"/>
        </w:rPr>
      </w:pPr>
      <w:r w:rsidRPr="00D91D73">
        <w:rPr>
          <w:rFonts w:ascii="Aptos" w:hAnsi="Aptos" w:cstheme="majorHAnsi"/>
          <w:lang w:val="es-AR"/>
        </w:rPr>
        <w:t>Las primas aumentaron a € 33,8 mil millones (+7,7%)</w:t>
      </w:r>
    </w:p>
    <w:p w14:paraId="0459BEC5" w14:textId="7CFCF84A" w:rsidR="0081476B" w:rsidRPr="00D91D73" w:rsidRDefault="0081476B" w:rsidP="00D91D73">
      <w:pPr>
        <w:pStyle w:val="Prrafodelista"/>
        <w:numPr>
          <w:ilvl w:val="0"/>
          <w:numId w:val="20"/>
        </w:numPr>
        <w:jc w:val="left"/>
        <w:rPr>
          <w:rFonts w:ascii="Aptos" w:hAnsi="Aptos" w:cstheme="majorHAnsi"/>
          <w:lang w:val="es-AR"/>
        </w:rPr>
      </w:pPr>
      <w:r w:rsidRPr="00D91D73">
        <w:rPr>
          <w:rFonts w:ascii="Aptos" w:hAnsi="Aptos" w:cstheme="majorHAnsi"/>
          <w:lang w:val="es-AR"/>
        </w:rPr>
        <w:t>El Ratio Combinado se mantuvo en 94,0% (0,0 p.p.). El Ratio Combinado no descontado mejoró a 95,9% (-0,8 p.p.)</w:t>
      </w:r>
    </w:p>
    <w:p w14:paraId="01F846D7" w14:textId="5E3FA805" w:rsidR="0081476B" w:rsidRPr="00D91D73" w:rsidRDefault="0081476B" w:rsidP="00D91D73">
      <w:pPr>
        <w:pStyle w:val="Prrafodelista"/>
        <w:numPr>
          <w:ilvl w:val="0"/>
          <w:numId w:val="20"/>
        </w:numPr>
        <w:jc w:val="left"/>
        <w:rPr>
          <w:rFonts w:ascii="Aptos" w:hAnsi="Aptos" w:cstheme="majorHAnsi"/>
          <w:lang w:val="es-AR"/>
        </w:rPr>
      </w:pPr>
      <w:r w:rsidRPr="00D91D73">
        <w:rPr>
          <w:rFonts w:ascii="Aptos" w:hAnsi="Aptos" w:cstheme="majorHAnsi"/>
          <w:lang w:val="es-AR"/>
        </w:rPr>
        <w:t>El resultado operativo aumentó a € 3.052 millones (+5,1%)</w:t>
      </w:r>
    </w:p>
    <w:p w14:paraId="6080DEAE" w14:textId="77777777" w:rsidR="00D91D73" w:rsidRDefault="00D91D73" w:rsidP="0081476B">
      <w:pPr>
        <w:jc w:val="left"/>
        <w:rPr>
          <w:rFonts w:ascii="Aptos" w:hAnsi="Aptos" w:cstheme="majorHAnsi"/>
          <w:lang w:val="es-AR"/>
        </w:rPr>
      </w:pPr>
    </w:p>
    <w:p w14:paraId="563E5173" w14:textId="693427E0" w:rsidR="000F7522" w:rsidRDefault="000F7522" w:rsidP="000F7522">
      <w:pPr>
        <w:jc w:val="center"/>
        <w:rPr>
          <w:rFonts w:ascii="Aptos" w:hAnsi="Aptos" w:cstheme="majorHAnsi"/>
          <w:lang w:val="es-AR"/>
        </w:rPr>
      </w:pPr>
      <w:r w:rsidRPr="000F7522">
        <w:rPr>
          <w:rFonts w:ascii="Aptos" w:hAnsi="Aptos" w:cstheme="majorHAnsi"/>
          <w:noProof/>
          <w:lang w:val="es-AR"/>
        </w:rPr>
        <w:drawing>
          <wp:inline distT="0" distB="0" distL="0" distR="0" wp14:anchorId="10EAB756" wp14:editId="6356A6AA">
            <wp:extent cx="4049486" cy="2282881"/>
            <wp:effectExtent l="0" t="0" r="8255" b="3175"/>
            <wp:docPr id="209499648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96488" name="Imagen 1" descr="Tabla&#10;&#10;El contenido generado por IA puede ser incorrecto."/>
                    <pic:cNvPicPr/>
                  </pic:nvPicPr>
                  <pic:blipFill>
                    <a:blip r:embed="rId14"/>
                    <a:stretch>
                      <a:fillRect/>
                    </a:stretch>
                  </pic:blipFill>
                  <pic:spPr>
                    <a:xfrm>
                      <a:off x="0" y="0"/>
                      <a:ext cx="4054678" cy="2285808"/>
                    </a:xfrm>
                    <a:prstGeom prst="rect">
                      <a:avLst/>
                    </a:prstGeom>
                  </pic:spPr>
                </pic:pic>
              </a:graphicData>
            </a:graphic>
          </wp:inline>
        </w:drawing>
      </w:r>
    </w:p>
    <w:p w14:paraId="16B39900" w14:textId="77777777" w:rsidR="000F7522" w:rsidRDefault="000F7522" w:rsidP="0081476B">
      <w:pPr>
        <w:jc w:val="left"/>
        <w:rPr>
          <w:rFonts w:ascii="Aptos" w:hAnsi="Aptos" w:cstheme="majorHAnsi"/>
          <w:lang w:val="es-AR"/>
        </w:rPr>
      </w:pPr>
    </w:p>
    <w:p w14:paraId="2CC24D38" w14:textId="12D3C031" w:rsidR="0081476B" w:rsidRPr="00207D95" w:rsidRDefault="0081476B" w:rsidP="0081476B">
      <w:pPr>
        <w:jc w:val="left"/>
        <w:rPr>
          <w:rFonts w:ascii="Aptos" w:hAnsi="Aptos" w:cstheme="majorHAnsi"/>
          <w:lang w:val="es-AR"/>
        </w:rPr>
      </w:pPr>
      <w:r w:rsidRPr="00207D95">
        <w:rPr>
          <w:rFonts w:ascii="Aptos" w:hAnsi="Aptos" w:cstheme="majorHAnsi"/>
          <w:lang w:val="es-AR"/>
        </w:rPr>
        <w:t xml:space="preserve">Las </w:t>
      </w:r>
      <w:r w:rsidRPr="00D91D73">
        <w:rPr>
          <w:rFonts w:ascii="Aptos" w:hAnsi="Aptos" w:cstheme="majorHAnsi"/>
          <w:b/>
          <w:bCs/>
          <w:lang w:val="es-AR"/>
        </w:rPr>
        <w:t>primas emitidas brutas de P&amp;C</w:t>
      </w:r>
      <w:r w:rsidRPr="00207D95">
        <w:rPr>
          <w:rFonts w:ascii="Aptos" w:hAnsi="Aptos" w:cstheme="majorHAnsi"/>
          <w:lang w:val="es-AR"/>
        </w:rPr>
        <w:t xml:space="preserve"> crecieron a € 33,8 mil millones (+7,7%) gracias al desempeño de ambas líneas de negocio. El segmento no automotor aumentó un 6,6%, logrando crecimiento en todas las principales áreas en las que opera el Grupo. La </w:t>
      </w:r>
      <w:proofErr w:type="gramStart"/>
      <w:r w:rsidRPr="00207D95">
        <w:rPr>
          <w:rFonts w:ascii="Aptos" w:hAnsi="Aptos" w:cstheme="majorHAnsi"/>
          <w:lang w:val="es-AR"/>
        </w:rPr>
        <w:t>línea automotor</w:t>
      </w:r>
      <w:proofErr w:type="gramEnd"/>
      <w:r w:rsidRPr="00207D95">
        <w:rPr>
          <w:rFonts w:ascii="Aptos" w:hAnsi="Aptos" w:cstheme="majorHAnsi"/>
          <w:lang w:val="es-AR"/>
        </w:rPr>
        <w:t xml:space="preserve"> aumentó significativamente un 10,5%, en todas las principales áreas y específicamente gracias al desempeño positivo visto en CEE, Alemania, Italia y Argentina. Excluyendo la contribución de Argentina, un país afectado por la hiperinflación, las primas de la línea automotor aumentaron un 6,6%.</w:t>
      </w:r>
    </w:p>
    <w:p w14:paraId="35193025" w14:textId="77777777" w:rsidR="0081476B" w:rsidRPr="00207D95" w:rsidRDefault="0081476B" w:rsidP="0081476B">
      <w:pPr>
        <w:jc w:val="left"/>
        <w:rPr>
          <w:rFonts w:ascii="Aptos" w:hAnsi="Aptos" w:cstheme="majorHAnsi"/>
          <w:lang w:val="es-AR"/>
        </w:rPr>
      </w:pPr>
    </w:p>
    <w:p w14:paraId="2258BAE8" w14:textId="77777777" w:rsidR="0081476B" w:rsidRPr="00207D95" w:rsidRDefault="0081476B" w:rsidP="0081476B">
      <w:pPr>
        <w:jc w:val="left"/>
        <w:rPr>
          <w:rFonts w:ascii="Aptos" w:hAnsi="Aptos" w:cstheme="majorHAnsi"/>
          <w:lang w:val="es-AR"/>
        </w:rPr>
      </w:pPr>
      <w:r w:rsidRPr="00207D95">
        <w:rPr>
          <w:rFonts w:ascii="Aptos" w:hAnsi="Aptos" w:cstheme="majorHAnsi"/>
          <w:lang w:val="es-AR"/>
        </w:rPr>
        <w:t xml:space="preserve">El </w:t>
      </w:r>
      <w:r w:rsidRPr="00D91D73">
        <w:rPr>
          <w:rFonts w:ascii="Aptos" w:hAnsi="Aptos" w:cstheme="majorHAnsi"/>
          <w:b/>
          <w:bCs/>
          <w:lang w:val="es-AR"/>
        </w:rPr>
        <w:t>Ratio Combinado</w:t>
      </w:r>
      <w:r w:rsidRPr="00207D95">
        <w:rPr>
          <w:rFonts w:ascii="Aptos" w:hAnsi="Aptos" w:cstheme="majorHAnsi"/>
          <w:lang w:val="es-AR"/>
        </w:rPr>
        <w:t xml:space="preserve"> se mantuvo en 94,0% (sin cambios en comparación con FY2023) a pesar de un menor beneficio por descuento del año en curso (+0,8 p.p.) reflejando la disminución de las tasas de interés y un menor desarrollo del año anterior (2,1 p.p. en comparación con 3,0 p.p. en FY2023). </w:t>
      </w:r>
      <w:proofErr w:type="gramStart"/>
      <w:r w:rsidRPr="00207D95">
        <w:rPr>
          <w:rFonts w:ascii="Aptos" w:hAnsi="Aptos" w:cstheme="majorHAnsi"/>
          <w:lang w:val="es-AR"/>
        </w:rPr>
        <w:t>El ratio</w:t>
      </w:r>
      <w:proofErr w:type="gramEnd"/>
      <w:r w:rsidRPr="00207D95">
        <w:rPr>
          <w:rFonts w:ascii="Aptos" w:hAnsi="Aptos" w:cstheme="majorHAnsi"/>
          <w:lang w:val="es-AR"/>
        </w:rPr>
        <w:t xml:space="preserve"> combinado no descontado mejoró a 95,9% (96,7% FY2023). </w:t>
      </w:r>
      <w:proofErr w:type="gramStart"/>
      <w:r w:rsidRPr="00207D95">
        <w:rPr>
          <w:rFonts w:ascii="Aptos" w:hAnsi="Aptos" w:cstheme="majorHAnsi"/>
          <w:lang w:val="es-AR"/>
        </w:rPr>
        <w:t>El ratio</w:t>
      </w:r>
      <w:proofErr w:type="gramEnd"/>
      <w:r w:rsidRPr="00207D95">
        <w:rPr>
          <w:rFonts w:ascii="Aptos" w:hAnsi="Aptos" w:cstheme="majorHAnsi"/>
          <w:lang w:val="es-AR"/>
        </w:rPr>
        <w:t xml:space="preserve"> de pérdidas del año en curso no descontado (excluyendo </w:t>
      </w:r>
      <w:proofErr w:type="spellStart"/>
      <w:r w:rsidRPr="00207D95">
        <w:rPr>
          <w:rFonts w:ascii="Aptos" w:hAnsi="Aptos" w:cstheme="majorHAnsi"/>
          <w:lang w:val="es-AR"/>
        </w:rPr>
        <w:t>nat-cat</w:t>
      </w:r>
      <w:proofErr w:type="spellEnd"/>
      <w:r w:rsidRPr="00207D95">
        <w:rPr>
          <w:rFonts w:ascii="Aptos" w:hAnsi="Aptos" w:cstheme="majorHAnsi"/>
          <w:lang w:val="es-AR"/>
        </w:rPr>
        <w:t xml:space="preserve">) mejoró a 65,5% (66,9% FY2023). </w:t>
      </w:r>
      <w:proofErr w:type="gramStart"/>
      <w:r w:rsidRPr="00207D95">
        <w:rPr>
          <w:rFonts w:ascii="Aptos" w:hAnsi="Aptos" w:cstheme="majorHAnsi"/>
          <w:lang w:val="es-AR"/>
        </w:rPr>
        <w:t>El ratio</w:t>
      </w:r>
      <w:proofErr w:type="gramEnd"/>
      <w:r w:rsidRPr="00207D95">
        <w:rPr>
          <w:rFonts w:ascii="Aptos" w:hAnsi="Aptos" w:cstheme="majorHAnsi"/>
          <w:lang w:val="es-AR"/>
        </w:rPr>
        <w:t xml:space="preserve"> de gastos mejoró a 28,8% (29,2% FY2023). Al observar las tendencias subyacentes del negocio, excluyendo el impacto del descuento y el desarrollo del año anterior, el Grupo logró una mejora de 1,7 p.p. en el </w:t>
      </w:r>
      <w:proofErr w:type="gramStart"/>
      <w:r w:rsidRPr="00207D95">
        <w:rPr>
          <w:rFonts w:ascii="Aptos" w:hAnsi="Aptos" w:cstheme="majorHAnsi"/>
          <w:lang w:val="es-AR"/>
        </w:rPr>
        <w:t>ratio combinado</w:t>
      </w:r>
      <w:proofErr w:type="gramEnd"/>
      <w:r w:rsidRPr="00207D95">
        <w:rPr>
          <w:rFonts w:ascii="Aptos" w:hAnsi="Aptos" w:cstheme="majorHAnsi"/>
          <w:lang w:val="es-AR"/>
        </w:rPr>
        <w:t xml:space="preserve"> </w:t>
      </w:r>
      <w:proofErr w:type="spellStart"/>
      <w:r w:rsidRPr="00207D95">
        <w:rPr>
          <w:rFonts w:ascii="Aptos" w:hAnsi="Aptos" w:cstheme="majorHAnsi"/>
          <w:lang w:val="es-AR"/>
        </w:rPr>
        <w:t>atricional</w:t>
      </w:r>
      <w:proofErr w:type="spellEnd"/>
      <w:r w:rsidRPr="00207D95">
        <w:rPr>
          <w:rFonts w:ascii="Aptos" w:hAnsi="Aptos" w:cstheme="majorHAnsi"/>
          <w:lang w:val="es-AR"/>
        </w:rPr>
        <w:t xml:space="preserve"> no descontado del año en curso en FY2024 en comparación con FY2023, uno de los mejores desempeños en la industria. Esta mejora refleja las acciones de precios y técnicas implementadas desde 2023 y proporciona un impulso al Grupo para volver a la excelencia técnica de P&amp;C después del shock inflacionario post-COVID.</w:t>
      </w:r>
    </w:p>
    <w:p w14:paraId="41072A5A" w14:textId="77777777" w:rsidR="0081476B" w:rsidRPr="00207D95" w:rsidRDefault="0081476B" w:rsidP="0081476B">
      <w:pPr>
        <w:jc w:val="left"/>
        <w:rPr>
          <w:rFonts w:ascii="Aptos" w:hAnsi="Aptos" w:cstheme="majorHAnsi"/>
          <w:lang w:val="es-AR"/>
        </w:rPr>
      </w:pPr>
    </w:p>
    <w:p w14:paraId="3ECC9673" w14:textId="72252530" w:rsidR="00E8053A" w:rsidRPr="00207D95" w:rsidRDefault="0081476B" w:rsidP="0081476B">
      <w:pPr>
        <w:jc w:val="left"/>
        <w:rPr>
          <w:rFonts w:ascii="Aptos" w:hAnsi="Aptos" w:cstheme="majorHAnsi"/>
          <w:lang w:val="es-AR"/>
        </w:rPr>
      </w:pPr>
      <w:r w:rsidRPr="00207D95">
        <w:rPr>
          <w:rFonts w:ascii="Aptos" w:hAnsi="Aptos" w:cstheme="majorHAnsi"/>
          <w:lang w:val="es-AR"/>
        </w:rPr>
        <w:t xml:space="preserve">El </w:t>
      </w:r>
      <w:r w:rsidRPr="008463BF">
        <w:rPr>
          <w:rFonts w:ascii="Aptos" w:hAnsi="Aptos" w:cstheme="majorHAnsi"/>
          <w:b/>
          <w:bCs/>
          <w:lang w:val="es-AR"/>
        </w:rPr>
        <w:t>resultado operativo</w:t>
      </w:r>
      <w:r w:rsidRPr="00207D95">
        <w:rPr>
          <w:rFonts w:ascii="Aptos" w:hAnsi="Aptos" w:cstheme="majorHAnsi"/>
          <w:lang w:val="es-AR"/>
        </w:rPr>
        <w:t xml:space="preserve"> aumentó a € 3.052 millones (€ 2.902 millones FY2023), reflejando lo anterior y a pesar de € 1.202 millones de pérdidas por </w:t>
      </w:r>
      <w:r w:rsidR="002B7E78">
        <w:rPr>
          <w:rFonts w:ascii="Aptos" w:hAnsi="Aptos" w:cstheme="majorHAnsi"/>
          <w:lang w:val="es-AR"/>
        </w:rPr>
        <w:t>catástrofes naturales</w:t>
      </w:r>
      <w:r w:rsidR="00AE2910">
        <w:rPr>
          <w:rFonts w:ascii="Aptos" w:hAnsi="Aptos" w:cstheme="majorHAnsi"/>
          <w:lang w:val="es-AR"/>
        </w:rPr>
        <w:t xml:space="preserve"> (</w:t>
      </w:r>
      <w:proofErr w:type="spellStart"/>
      <w:r w:rsidR="00AE2910" w:rsidRPr="00AE2910">
        <w:rPr>
          <w:rFonts w:ascii="Aptos" w:hAnsi="Aptos" w:cstheme="majorHAnsi"/>
          <w:i/>
          <w:iCs/>
          <w:lang w:val="es-AR"/>
        </w:rPr>
        <w:t>nat-cat</w:t>
      </w:r>
      <w:proofErr w:type="spellEnd"/>
      <w:r w:rsidR="00AE2910">
        <w:rPr>
          <w:rFonts w:ascii="Aptos" w:hAnsi="Aptos" w:cstheme="majorHAnsi"/>
          <w:lang w:val="es-AR"/>
        </w:rPr>
        <w:t>)</w:t>
      </w:r>
      <w:r w:rsidRPr="00207D95">
        <w:rPr>
          <w:rFonts w:ascii="Aptos" w:hAnsi="Aptos" w:cstheme="majorHAnsi"/>
          <w:lang w:val="es-AR"/>
        </w:rPr>
        <w:t xml:space="preserve"> (€ 1.127 millones FY2023). El resultado operativo del servicio de seguros fue de € 1.976 millones (€ 1.807 millones FY2023) gracias al crecimiento del negocio de P&amp;C y la mejora de la rentabilidad </w:t>
      </w:r>
      <w:proofErr w:type="spellStart"/>
      <w:r w:rsidRPr="00207D95">
        <w:rPr>
          <w:rFonts w:ascii="Aptos" w:hAnsi="Aptos" w:cstheme="majorHAnsi"/>
          <w:lang w:val="es-AR"/>
        </w:rPr>
        <w:t>atricional</w:t>
      </w:r>
      <w:proofErr w:type="spellEnd"/>
      <w:r w:rsidRPr="00207D95">
        <w:rPr>
          <w:rFonts w:ascii="Aptos" w:hAnsi="Aptos" w:cstheme="majorHAnsi"/>
          <w:lang w:val="es-AR"/>
        </w:rPr>
        <w:t xml:space="preserve"> del año en curso, compensando más que un menor beneficio por descuento. El resultado operativo de inversión fue de € 1.076 millones (€ 1.095 millones FY2023) reflejando un aumento de € 320 millones en los ingresos operativos de inversión a € 1.710 millones. Esto fue más que compensado por un aumento de € 340 millones en los gastos financieros de seguros a € 634 millones.</w:t>
      </w:r>
      <w:r w:rsidR="00E8053A" w:rsidRPr="00207D95">
        <w:rPr>
          <w:rFonts w:ascii="Aptos" w:hAnsi="Aptos" w:cstheme="majorHAnsi"/>
          <w:lang w:val="es-AR"/>
        </w:rPr>
        <w:br w:type="page"/>
      </w:r>
    </w:p>
    <w:p w14:paraId="3BDE07FA" w14:textId="77777777" w:rsidR="00982CD1" w:rsidRPr="00207D95" w:rsidRDefault="00982CD1">
      <w:pPr>
        <w:jc w:val="left"/>
        <w:rPr>
          <w:rFonts w:ascii="Aptos" w:hAnsi="Aptos" w:cstheme="majorHAnsi"/>
          <w:lang w:val="es-AR"/>
        </w:rPr>
      </w:pPr>
    </w:p>
    <w:p w14:paraId="4B060C13" w14:textId="3BA9A86B" w:rsidR="00441D38" w:rsidRPr="00441D38" w:rsidRDefault="00830316" w:rsidP="00441D38">
      <w:pPr>
        <w:pStyle w:val="Ttulo1"/>
        <w:spacing w:before="0"/>
        <w:jc w:val="both"/>
        <w:rPr>
          <w:rFonts w:ascii="Aptos" w:hAnsi="Aptos"/>
        </w:rPr>
      </w:pPr>
      <w:r w:rsidRPr="008463BF">
        <w:rPr>
          <w:rFonts w:ascii="Aptos" w:hAnsi="Aptos"/>
        </w:rPr>
        <w:t>GESTIÓN DE ACTIVOS Y PATRIMONIOS</w:t>
      </w:r>
    </w:p>
    <w:p w14:paraId="38A3D22C" w14:textId="77777777" w:rsidR="00441D38" w:rsidRDefault="00441D38" w:rsidP="00441D38">
      <w:pPr>
        <w:pStyle w:val="Prrafodelista"/>
        <w:numPr>
          <w:ilvl w:val="0"/>
          <w:numId w:val="22"/>
        </w:numPr>
        <w:jc w:val="left"/>
        <w:rPr>
          <w:rFonts w:ascii="Aptos" w:hAnsi="Aptos" w:cstheme="majorHAnsi"/>
          <w:lang w:val="es-AR"/>
        </w:rPr>
      </w:pPr>
      <w:r w:rsidRPr="00441D38">
        <w:rPr>
          <w:rFonts w:ascii="Aptos" w:hAnsi="Aptos" w:cstheme="majorHAnsi"/>
          <w:lang w:val="es-AR"/>
        </w:rPr>
        <w:t>El resultado operativo de Gestión de Activos y Patrimonios creció a € 1.176 millones (+22,6%)</w:t>
      </w:r>
    </w:p>
    <w:p w14:paraId="16FB5FAA" w14:textId="2F9D17B9" w:rsidR="00441D38" w:rsidRPr="00441D38" w:rsidRDefault="00441D38" w:rsidP="00441D38">
      <w:pPr>
        <w:pStyle w:val="Prrafodelista"/>
        <w:numPr>
          <w:ilvl w:val="0"/>
          <w:numId w:val="22"/>
        </w:numPr>
        <w:jc w:val="left"/>
        <w:rPr>
          <w:rFonts w:ascii="Aptos" w:hAnsi="Aptos" w:cstheme="majorHAnsi"/>
          <w:lang w:val="es-AR"/>
        </w:rPr>
      </w:pPr>
      <w:r w:rsidRPr="00441D38">
        <w:rPr>
          <w:rFonts w:ascii="Aptos" w:hAnsi="Aptos" w:cstheme="majorHAnsi"/>
          <w:lang w:val="es-AR"/>
        </w:rPr>
        <w:t>El resultado operativo del grupo Banca Generali aumentó fuertemente a € 560 millones (+27,6%)</w:t>
      </w:r>
    </w:p>
    <w:p w14:paraId="24E076EF" w14:textId="77777777" w:rsidR="00441D38" w:rsidRPr="00441D38" w:rsidRDefault="00441D38" w:rsidP="00830316">
      <w:pPr>
        <w:jc w:val="left"/>
        <w:rPr>
          <w:rFonts w:ascii="Aptos" w:hAnsi="Aptos" w:cstheme="majorHAnsi"/>
          <w:lang w:val="es-AR"/>
        </w:rPr>
      </w:pPr>
    </w:p>
    <w:p w14:paraId="69D53A27" w14:textId="33B64606" w:rsidR="00441D38" w:rsidRPr="00441D38" w:rsidRDefault="000F7522" w:rsidP="000F7522">
      <w:pPr>
        <w:jc w:val="center"/>
        <w:rPr>
          <w:rFonts w:ascii="Aptos" w:hAnsi="Aptos" w:cstheme="majorHAnsi"/>
          <w:lang w:val="es-AR"/>
        </w:rPr>
      </w:pPr>
      <w:r w:rsidRPr="000F7522">
        <w:rPr>
          <w:rFonts w:ascii="Aptos" w:hAnsi="Aptos" w:cstheme="majorHAnsi"/>
          <w:noProof/>
          <w:lang w:val="es-AR"/>
        </w:rPr>
        <w:drawing>
          <wp:inline distT="0" distB="0" distL="0" distR="0" wp14:anchorId="72A928C5" wp14:editId="7D56DF1F">
            <wp:extent cx="4287520" cy="1141766"/>
            <wp:effectExtent l="0" t="0" r="0" b="1270"/>
            <wp:docPr id="174576173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61732" name="Imagen 1" descr="Tabla&#10;&#10;El contenido generado por IA puede ser incorrecto."/>
                    <pic:cNvPicPr/>
                  </pic:nvPicPr>
                  <pic:blipFill>
                    <a:blip r:embed="rId15"/>
                    <a:stretch>
                      <a:fillRect/>
                    </a:stretch>
                  </pic:blipFill>
                  <pic:spPr>
                    <a:xfrm>
                      <a:off x="0" y="0"/>
                      <a:ext cx="4310547" cy="1147898"/>
                    </a:xfrm>
                    <a:prstGeom prst="rect">
                      <a:avLst/>
                    </a:prstGeom>
                  </pic:spPr>
                </pic:pic>
              </a:graphicData>
            </a:graphic>
          </wp:inline>
        </w:drawing>
      </w:r>
    </w:p>
    <w:p w14:paraId="7D47DEAE" w14:textId="77777777" w:rsidR="000F7522" w:rsidRDefault="000F7522" w:rsidP="00830316">
      <w:pPr>
        <w:jc w:val="left"/>
        <w:rPr>
          <w:rFonts w:ascii="Aptos" w:hAnsi="Aptos" w:cstheme="majorHAnsi"/>
          <w:lang w:val="es-AR"/>
        </w:rPr>
      </w:pPr>
    </w:p>
    <w:p w14:paraId="0B0100C0" w14:textId="08BAB1E9" w:rsidR="00830316" w:rsidRPr="00207D95" w:rsidRDefault="00830316" w:rsidP="00830316">
      <w:pPr>
        <w:jc w:val="left"/>
        <w:rPr>
          <w:rFonts w:ascii="Aptos" w:hAnsi="Aptos" w:cstheme="majorHAnsi"/>
          <w:lang w:val="es-AR"/>
        </w:rPr>
      </w:pPr>
      <w:r w:rsidRPr="00207D95">
        <w:rPr>
          <w:rFonts w:ascii="Aptos" w:hAnsi="Aptos" w:cstheme="majorHAnsi"/>
          <w:lang w:val="es-AR"/>
        </w:rPr>
        <w:t xml:space="preserve">El </w:t>
      </w:r>
      <w:r w:rsidRPr="00645699">
        <w:rPr>
          <w:rFonts w:ascii="Aptos" w:hAnsi="Aptos" w:cstheme="majorHAnsi"/>
          <w:b/>
          <w:bCs/>
          <w:lang w:val="es-AR"/>
        </w:rPr>
        <w:t>resultado operativo de Gestión de Activos y Patrimonios</w:t>
      </w:r>
      <w:r w:rsidRPr="00207D95">
        <w:rPr>
          <w:rFonts w:ascii="Aptos" w:hAnsi="Aptos" w:cstheme="majorHAnsi"/>
          <w:lang w:val="es-AR"/>
        </w:rPr>
        <w:t xml:space="preserve"> creció significativamente a € 1.176 millones (+22,6%). El resultado operativo de Gestión de Activos aumentó a € 616 millones (+18,3%) reflejando la consolidación de CHL. El resultado operativo del grupo Banca Generali aumentó sustancialmente a € 560 millones (+27,6%), gracias a la mejora en el margen de interés neto junto con la continua diversificación de las fuentes de ingresos por comisiones y una contribución significativa de las comisiones por desempeño. Los flujos netos totales en Banca Generali para FY2024 fueron de € 6,6 mil millones. </w:t>
      </w:r>
    </w:p>
    <w:p w14:paraId="40868404" w14:textId="77777777" w:rsidR="00830316" w:rsidRDefault="00830316" w:rsidP="00830316">
      <w:pPr>
        <w:jc w:val="left"/>
        <w:rPr>
          <w:rFonts w:ascii="Aptos" w:hAnsi="Aptos" w:cstheme="majorHAnsi"/>
          <w:lang w:val="es-AR"/>
        </w:rPr>
      </w:pPr>
    </w:p>
    <w:p w14:paraId="12D969B3" w14:textId="054AC9BE" w:rsidR="003D5093" w:rsidRDefault="00FE3373" w:rsidP="00FE3373">
      <w:pPr>
        <w:jc w:val="center"/>
        <w:rPr>
          <w:rFonts w:ascii="Aptos" w:hAnsi="Aptos" w:cstheme="majorHAnsi"/>
          <w:lang w:val="es-AR"/>
        </w:rPr>
      </w:pPr>
      <w:r w:rsidRPr="00FE3373">
        <w:rPr>
          <w:rFonts w:ascii="Aptos" w:hAnsi="Aptos" w:cstheme="majorHAnsi"/>
          <w:noProof/>
          <w:lang w:val="es-AR"/>
        </w:rPr>
        <w:drawing>
          <wp:inline distT="0" distB="0" distL="0" distR="0" wp14:anchorId="212A2F41" wp14:editId="4838B425">
            <wp:extent cx="4168714" cy="1543792"/>
            <wp:effectExtent l="0" t="0" r="3810" b="0"/>
            <wp:docPr id="12657268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2687" name="Imagen 1" descr="Tabla&#10;&#10;El contenido generado por IA puede ser incorrecto."/>
                    <pic:cNvPicPr/>
                  </pic:nvPicPr>
                  <pic:blipFill>
                    <a:blip r:embed="rId16"/>
                    <a:stretch>
                      <a:fillRect/>
                    </a:stretch>
                  </pic:blipFill>
                  <pic:spPr>
                    <a:xfrm>
                      <a:off x="0" y="0"/>
                      <a:ext cx="4196616" cy="1554125"/>
                    </a:xfrm>
                    <a:prstGeom prst="rect">
                      <a:avLst/>
                    </a:prstGeom>
                  </pic:spPr>
                </pic:pic>
              </a:graphicData>
            </a:graphic>
          </wp:inline>
        </w:drawing>
      </w:r>
    </w:p>
    <w:p w14:paraId="37408BB3" w14:textId="15176B50" w:rsidR="003D5093" w:rsidRPr="00207D95" w:rsidRDefault="003D5093" w:rsidP="003D5093">
      <w:pPr>
        <w:jc w:val="left"/>
        <w:rPr>
          <w:rFonts w:ascii="Aptos" w:hAnsi="Aptos" w:cstheme="majorHAnsi"/>
          <w:lang w:val="es-AR"/>
        </w:rPr>
      </w:pPr>
      <w:r w:rsidRPr="00207D95">
        <w:rPr>
          <w:rFonts w:ascii="Aptos" w:hAnsi="Aptos" w:cstheme="majorHAnsi"/>
          <w:lang w:val="es-AR"/>
        </w:rPr>
        <w:t xml:space="preserve">El </w:t>
      </w:r>
      <w:r w:rsidRPr="003D5093">
        <w:rPr>
          <w:rFonts w:ascii="Aptos" w:hAnsi="Aptos" w:cstheme="majorHAnsi"/>
          <w:b/>
          <w:bCs/>
          <w:lang w:val="es-AR"/>
        </w:rPr>
        <w:t>resultado operativo de Gestión de Activos</w:t>
      </w:r>
      <w:r w:rsidRPr="00207D95">
        <w:rPr>
          <w:rFonts w:ascii="Aptos" w:hAnsi="Aptos" w:cstheme="majorHAnsi"/>
          <w:lang w:val="es-AR"/>
        </w:rPr>
        <w:t xml:space="preserve"> aumentó a € 616 millones (+18,3%), reflejando la contribución de € 70 millones de CHL, sin la cual el resultado operativo habría crecido +4,8% año tras año.</w:t>
      </w:r>
    </w:p>
    <w:p w14:paraId="7F4FE63C" w14:textId="77777777" w:rsidR="003D5093" w:rsidRPr="00207D95" w:rsidRDefault="003D5093" w:rsidP="00830316">
      <w:pPr>
        <w:jc w:val="left"/>
        <w:rPr>
          <w:rFonts w:ascii="Aptos" w:hAnsi="Aptos" w:cstheme="majorHAnsi"/>
          <w:lang w:val="es-AR"/>
        </w:rPr>
      </w:pPr>
    </w:p>
    <w:p w14:paraId="03836520" w14:textId="77777777" w:rsidR="00830316" w:rsidRPr="00207D95" w:rsidRDefault="00830316" w:rsidP="00830316">
      <w:pPr>
        <w:jc w:val="left"/>
        <w:rPr>
          <w:rFonts w:ascii="Aptos" w:hAnsi="Aptos" w:cstheme="majorHAnsi"/>
          <w:lang w:val="es-AR"/>
        </w:rPr>
      </w:pPr>
      <w:r w:rsidRPr="00207D95">
        <w:rPr>
          <w:rFonts w:ascii="Aptos" w:hAnsi="Aptos" w:cstheme="majorHAnsi"/>
          <w:lang w:val="es-AR"/>
        </w:rPr>
        <w:t xml:space="preserve">Los </w:t>
      </w:r>
      <w:r w:rsidRPr="003D5093">
        <w:rPr>
          <w:rFonts w:ascii="Aptos" w:hAnsi="Aptos" w:cstheme="majorHAnsi"/>
          <w:b/>
          <w:bCs/>
          <w:lang w:val="es-AR"/>
        </w:rPr>
        <w:t>ingresos operativos</w:t>
      </w:r>
      <w:r w:rsidRPr="00207D95">
        <w:rPr>
          <w:rFonts w:ascii="Aptos" w:hAnsi="Aptos" w:cstheme="majorHAnsi"/>
          <w:lang w:val="es-AR"/>
        </w:rPr>
        <w:t xml:space="preserve"> registraron un crecimiento positivo (+33,1%, o +7,7% excluyendo CHL), reflejando la contribución de CHL (€ 278 millones, incluyendo un fuerte nivel de comisiones por desempeño de € 29 millones). Excluyendo la contribución de CHL, los ingresos operativos se beneficiaron de mayores comisiones recurrentes, comisiones por desempeño y comisiones no recurrentes de inversiones en bienes raíces e infraestructura.</w:t>
      </w:r>
    </w:p>
    <w:p w14:paraId="62CB1DAB" w14:textId="77777777" w:rsidR="00830316" w:rsidRPr="00207D95" w:rsidRDefault="00830316" w:rsidP="00830316">
      <w:pPr>
        <w:jc w:val="left"/>
        <w:rPr>
          <w:rFonts w:ascii="Aptos" w:hAnsi="Aptos" w:cstheme="majorHAnsi"/>
          <w:lang w:val="es-AR"/>
        </w:rPr>
      </w:pPr>
    </w:p>
    <w:p w14:paraId="253E06EF" w14:textId="77777777" w:rsidR="00830316" w:rsidRPr="00207D95" w:rsidRDefault="00830316" w:rsidP="00830316">
      <w:pPr>
        <w:jc w:val="left"/>
        <w:rPr>
          <w:rFonts w:ascii="Aptos" w:hAnsi="Aptos" w:cstheme="majorHAnsi"/>
          <w:lang w:val="es-AR"/>
        </w:rPr>
      </w:pPr>
      <w:r w:rsidRPr="00207D95">
        <w:rPr>
          <w:rFonts w:ascii="Aptos" w:hAnsi="Aptos" w:cstheme="majorHAnsi"/>
          <w:lang w:val="es-AR"/>
        </w:rPr>
        <w:t xml:space="preserve">Los </w:t>
      </w:r>
      <w:r w:rsidRPr="003D5093">
        <w:rPr>
          <w:rFonts w:ascii="Aptos" w:hAnsi="Aptos" w:cstheme="majorHAnsi"/>
          <w:b/>
          <w:bCs/>
          <w:lang w:val="es-AR"/>
        </w:rPr>
        <w:t>gastos operativos</w:t>
      </w:r>
      <w:r w:rsidRPr="00207D95">
        <w:rPr>
          <w:rFonts w:ascii="Aptos" w:hAnsi="Aptos" w:cstheme="majorHAnsi"/>
          <w:lang w:val="es-AR"/>
        </w:rPr>
        <w:t xml:space="preserve"> aumentaron a € 834 millones (+46,7%, o +10,3% excluyendo CHL), reflejando la consolidación de CHL equivalente a € 207 millones. El aumento excluyendo CHL fue impulsado principalmente por mayores costos de compensación. </w:t>
      </w:r>
      <w:proofErr w:type="gramStart"/>
      <w:r w:rsidRPr="00207D95">
        <w:rPr>
          <w:rFonts w:ascii="Aptos" w:hAnsi="Aptos" w:cstheme="majorHAnsi"/>
          <w:lang w:val="es-AR"/>
        </w:rPr>
        <w:t>El ratio</w:t>
      </w:r>
      <w:proofErr w:type="gramEnd"/>
      <w:r w:rsidRPr="00207D95">
        <w:rPr>
          <w:rFonts w:ascii="Aptos" w:hAnsi="Aptos" w:cstheme="majorHAnsi"/>
          <w:lang w:val="es-AR"/>
        </w:rPr>
        <w:t xml:space="preserve"> Costos/Ingresos de Gestión de Activos fue de 57,5% (o 53,5% excluyendo CHL).</w:t>
      </w:r>
    </w:p>
    <w:p w14:paraId="579CC22F" w14:textId="77777777" w:rsidR="00830316" w:rsidRPr="00207D95" w:rsidRDefault="00830316" w:rsidP="00830316">
      <w:pPr>
        <w:jc w:val="left"/>
        <w:rPr>
          <w:rFonts w:ascii="Aptos" w:hAnsi="Aptos" w:cstheme="majorHAnsi"/>
          <w:lang w:val="es-AR"/>
        </w:rPr>
      </w:pPr>
    </w:p>
    <w:p w14:paraId="33D26A3A" w14:textId="77777777" w:rsidR="00830316" w:rsidRPr="00207D95" w:rsidRDefault="00830316" w:rsidP="00830316">
      <w:pPr>
        <w:jc w:val="left"/>
        <w:rPr>
          <w:rFonts w:ascii="Aptos" w:hAnsi="Aptos" w:cstheme="majorHAnsi"/>
          <w:lang w:val="es-AR"/>
        </w:rPr>
      </w:pPr>
      <w:r w:rsidRPr="00207D95">
        <w:rPr>
          <w:rFonts w:ascii="Aptos" w:hAnsi="Aptos" w:cstheme="majorHAnsi"/>
          <w:lang w:val="es-AR"/>
        </w:rPr>
        <w:t xml:space="preserve">El </w:t>
      </w:r>
      <w:r w:rsidRPr="003D5093">
        <w:rPr>
          <w:rFonts w:ascii="Aptos" w:hAnsi="Aptos" w:cstheme="majorHAnsi"/>
          <w:b/>
          <w:bCs/>
          <w:lang w:val="es-AR"/>
        </w:rPr>
        <w:t>resultado neto ajustado</w:t>
      </w:r>
      <w:r w:rsidRPr="00207D95">
        <w:rPr>
          <w:rFonts w:ascii="Aptos" w:hAnsi="Aptos" w:cstheme="majorHAnsi"/>
          <w:lang w:val="es-AR"/>
        </w:rPr>
        <w:t xml:space="preserve"> del segmento de Gestión de Activos fue de € 343 millones (-2,7%). El resultado neto también se vio afectado por costos únicos de transacción e integración relacionados con la adquisición de CHL, gastos de otros proyectos extraordinarios y el efecto de dilución relacionado con la participación del 16,75% de Cathay </w:t>
      </w:r>
      <w:proofErr w:type="spellStart"/>
      <w:r w:rsidRPr="00207D95">
        <w:rPr>
          <w:rFonts w:ascii="Aptos" w:hAnsi="Aptos" w:cstheme="majorHAnsi"/>
          <w:lang w:val="es-AR"/>
        </w:rPr>
        <w:t>Life</w:t>
      </w:r>
      <w:proofErr w:type="spellEnd"/>
      <w:r w:rsidRPr="00207D95">
        <w:rPr>
          <w:rFonts w:ascii="Aptos" w:hAnsi="Aptos" w:cstheme="majorHAnsi"/>
          <w:lang w:val="es-AR"/>
        </w:rPr>
        <w:t xml:space="preserve"> en Generali </w:t>
      </w:r>
      <w:proofErr w:type="spellStart"/>
      <w:r w:rsidRPr="00207D95">
        <w:rPr>
          <w:rFonts w:ascii="Aptos" w:hAnsi="Aptos" w:cstheme="majorHAnsi"/>
          <w:lang w:val="es-AR"/>
        </w:rPr>
        <w:t>Investments</w:t>
      </w:r>
      <w:proofErr w:type="spellEnd"/>
      <w:r w:rsidRPr="00207D95">
        <w:rPr>
          <w:rFonts w:ascii="Aptos" w:hAnsi="Aptos" w:cstheme="majorHAnsi"/>
          <w:lang w:val="es-AR"/>
        </w:rPr>
        <w:t xml:space="preserve"> Holding.</w:t>
      </w:r>
    </w:p>
    <w:p w14:paraId="2A421527" w14:textId="77777777" w:rsidR="00830316" w:rsidRPr="00207D95" w:rsidRDefault="00830316" w:rsidP="00830316">
      <w:pPr>
        <w:jc w:val="left"/>
        <w:rPr>
          <w:rFonts w:ascii="Aptos" w:hAnsi="Aptos" w:cstheme="majorHAnsi"/>
          <w:lang w:val="es-AR"/>
        </w:rPr>
      </w:pPr>
    </w:p>
    <w:p w14:paraId="51D5480B" w14:textId="77777777" w:rsidR="00667DB2" w:rsidRDefault="00830316" w:rsidP="00830316">
      <w:pPr>
        <w:jc w:val="left"/>
        <w:rPr>
          <w:rFonts w:ascii="Aptos" w:hAnsi="Aptos" w:cstheme="majorHAnsi"/>
          <w:lang w:val="es-AR"/>
        </w:rPr>
      </w:pPr>
      <w:r w:rsidRPr="00207D95">
        <w:rPr>
          <w:rFonts w:ascii="Aptos" w:hAnsi="Aptos" w:cstheme="majorHAnsi"/>
          <w:lang w:val="es-AR"/>
        </w:rPr>
        <w:t xml:space="preserve">Los </w:t>
      </w:r>
      <w:r w:rsidRPr="00667DB2">
        <w:rPr>
          <w:rFonts w:ascii="Aptos" w:hAnsi="Aptos" w:cstheme="majorHAnsi"/>
          <w:b/>
          <w:bCs/>
          <w:lang w:val="es-AR"/>
        </w:rPr>
        <w:t>AUM</w:t>
      </w:r>
      <w:r w:rsidRPr="00207D95">
        <w:rPr>
          <w:rFonts w:ascii="Aptos" w:hAnsi="Aptos" w:cstheme="majorHAnsi"/>
          <w:lang w:val="es-AR"/>
        </w:rPr>
        <w:t xml:space="preserve"> pertenecientes a las empresas de Gestión de Activos aumentaron a € 695 mil millones al cierre de 2024 (+34,8% en comparación con el cierre de 2023), principalmente gracias a la adquisición de CHL.</w:t>
      </w:r>
    </w:p>
    <w:p w14:paraId="7ABDCCD1" w14:textId="77777777" w:rsidR="00E76EFE" w:rsidRDefault="00830316" w:rsidP="00830316">
      <w:pPr>
        <w:jc w:val="left"/>
        <w:rPr>
          <w:rFonts w:ascii="Aptos" w:hAnsi="Aptos" w:cstheme="majorHAnsi"/>
          <w:lang w:val="es-AR"/>
        </w:rPr>
      </w:pPr>
      <w:r w:rsidRPr="00207D95">
        <w:rPr>
          <w:rFonts w:ascii="Aptos" w:hAnsi="Aptos" w:cstheme="majorHAnsi"/>
          <w:lang w:val="es-AR"/>
        </w:rPr>
        <w:t xml:space="preserve">Los </w:t>
      </w:r>
      <w:r w:rsidRPr="00E76EFE">
        <w:rPr>
          <w:rFonts w:ascii="Aptos" w:hAnsi="Aptos" w:cstheme="majorHAnsi"/>
          <w:b/>
          <w:bCs/>
          <w:lang w:val="es-AR"/>
        </w:rPr>
        <w:t>AUM de terceros gestionados</w:t>
      </w:r>
      <w:r w:rsidRPr="00207D95">
        <w:rPr>
          <w:rFonts w:ascii="Aptos" w:hAnsi="Aptos" w:cstheme="majorHAnsi"/>
          <w:lang w:val="es-AR"/>
        </w:rPr>
        <w:t xml:space="preserve"> por las empresas de Gestión de Activos se situaron en € 271 mil millones, incluyendo € 164 mil millones de CHL.</w:t>
      </w:r>
    </w:p>
    <w:p w14:paraId="2F70477F" w14:textId="0BF2C009" w:rsidR="00E8053A" w:rsidRPr="00207D95" w:rsidRDefault="00830316" w:rsidP="00830316">
      <w:pPr>
        <w:jc w:val="left"/>
        <w:rPr>
          <w:rFonts w:ascii="Aptos" w:hAnsi="Aptos" w:cstheme="majorHAnsi"/>
          <w:lang w:val="es-AR"/>
        </w:rPr>
      </w:pPr>
      <w:r w:rsidRPr="00207D95">
        <w:rPr>
          <w:rFonts w:ascii="Aptos" w:hAnsi="Aptos" w:cstheme="majorHAnsi"/>
          <w:lang w:val="es-AR"/>
        </w:rPr>
        <w:t xml:space="preserve">Los </w:t>
      </w:r>
      <w:r w:rsidRPr="00E76EFE">
        <w:rPr>
          <w:rFonts w:ascii="Aptos" w:hAnsi="Aptos" w:cstheme="majorHAnsi"/>
          <w:b/>
          <w:bCs/>
          <w:lang w:val="es-AR"/>
        </w:rPr>
        <w:t>flujos netos de terceros</w:t>
      </w:r>
      <w:r w:rsidRPr="00207D95">
        <w:rPr>
          <w:rFonts w:ascii="Aptos" w:hAnsi="Aptos" w:cstheme="majorHAnsi"/>
          <w:lang w:val="es-AR"/>
        </w:rPr>
        <w:t xml:space="preserve"> fueron de € +1,8 mil millones, gracias a flujos netos positivos en el 4T2024 de € +3,8 mil millones.</w:t>
      </w:r>
      <w:r w:rsidR="00E8053A" w:rsidRPr="00207D95">
        <w:rPr>
          <w:rFonts w:ascii="Aptos" w:hAnsi="Aptos" w:cstheme="majorHAnsi"/>
          <w:lang w:val="es-AR"/>
        </w:rPr>
        <w:br w:type="page"/>
      </w:r>
    </w:p>
    <w:p w14:paraId="63324F8B" w14:textId="77777777" w:rsidR="00FF5C64" w:rsidRPr="00E76EFE" w:rsidRDefault="00FF5C64" w:rsidP="00E76EFE">
      <w:pPr>
        <w:pStyle w:val="Ttulo1"/>
        <w:spacing w:before="0"/>
        <w:jc w:val="both"/>
        <w:rPr>
          <w:rFonts w:ascii="Aptos" w:hAnsi="Aptos"/>
        </w:rPr>
      </w:pPr>
      <w:r w:rsidRPr="00E76EFE">
        <w:rPr>
          <w:rFonts w:ascii="Aptos" w:hAnsi="Aptos"/>
        </w:rPr>
        <w:lastRenderedPageBreak/>
        <w:t>HOLDING Y OTROS NEGOCIOS</w:t>
      </w:r>
    </w:p>
    <w:p w14:paraId="1C22812F" w14:textId="316730E1" w:rsidR="00FF5C64" w:rsidRPr="00E76EFE" w:rsidRDefault="00FF5C64" w:rsidP="00E76EFE">
      <w:pPr>
        <w:pStyle w:val="Prrafodelista"/>
        <w:numPr>
          <w:ilvl w:val="0"/>
          <w:numId w:val="24"/>
        </w:numPr>
        <w:jc w:val="left"/>
        <w:rPr>
          <w:rFonts w:ascii="Aptos" w:hAnsi="Aptos" w:cstheme="majorHAnsi"/>
          <w:lang w:val="es-AR"/>
        </w:rPr>
      </w:pPr>
      <w:r w:rsidRPr="00E76EFE">
        <w:rPr>
          <w:rFonts w:ascii="Aptos" w:hAnsi="Aptos" w:cstheme="majorHAnsi"/>
          <w:lang w:val="es-AR"/>
        </w:rPr>
        <w:t>El resultado operativo se situó en € -536 millones</w:t>
      </w:r>
    </w:p>
    <w:p w14:paraId="0F3A9E75" w14:textId="77777777" w:rsidR="00E76EFE" w:rsidRDefault="00E76EFE" w:rsidP="00FF5C64">
      <w:pPr>
        <w:jc w:val="left"/>
        <w:rPr>
          <w:rFonts w:ascii="Aptos" w:hAnsi="Aptos" w:cstheme="majorHAnsi"/>
          <w:lang w:val="es-AR"/>
        </w:rPr>
      </w:pPr>
    </w:p>
    <w:p w14:paraId="0A3BD4AD" w14:textId="00AE1E96" w:rsidR="00FE3373" w:rsidRDefault="00FE3373" w:rsidP="00FE3373">
      <w:pPr>
        <w:jc w:val="center"/>
        <w:rPr>
          <w:rFonts w:ascii="Aptos" w:hAnsi="Aptos" w:cstheme="majorHAnsi"/>
          <w:lang w:val="es-AR"/>
        </w:rPr>
      </w:pPr>
      <w:r w:rsidRPr="00FE3373">
        <w:rPr>
          <w:rFonts w:ascii="Aptos" w:hAnsi="Aptos" w:cstheme="majorHAnsi"/>
          <w:noProof/>
          <w:lang w:val="es-AR"/>
        </w:rPr>
        <w:drawing>
          <wp:inline distT="0" distB="0" distL="0" distR="0" wp14:anchorId="32D80189" wp14:editId="532F528A">
            <wp:extent cx="4465122" cy="1062043"/>
            <wp:effectExtent l="0" t="0" r="0" b="5080"/>
            <wp:docPr id="204240291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02915" name="Imagen 1" descr="Tabla&#10;&#10;El contenido generado por IA puede ser incorrecto."/>
                    <pic:cNvPicPr/>
                  </pic:nvPicPr>
                  <pic:blipFill>
                    <a:blip r:embed="rId17"/>
                    <a:stretch>
                      <a:fillRect/>
                    </a:stretch>
                  </pic:blipFill>
                  <pic:spPr>
                    <a:xfrm>
                      <a:off x="0" y="0"/>
                      <a:ext cx="4476565" cy="1064765"/>
                    </a:xfrm>
                    <a:prstGeom prst="rect">
                      <a:avLst/>
                    </a:prstGeom>
                  </pic:spPr>
                </pic:pic>
              </a:graphicData>
            </a:graphic>
          </wp:inline>
        </w:drawing>
      </w:r>
    </w:p>
    <w:p w14:paraId="13BDDD12" w14:textId="77777777" w:rsidR="00FE3373" w:rsidRDefault="00FE3373" w:rsidP="00FF5C64">
      <w:pPr>
        <w:jc w:val="left"/>
        <w:rPr>
          <w:rFonts w:ascii="Aptos" w:hAnsi="Aptos" w:cstheme="majorHAnsi"/>
          <w:lang w:val="es-AR"/>
        </w:rPr>
      </w:pPr>
    </w:p>
    <w:p w14:paraId="72C29AF3" w14:textId="52187483" w:rsidR="00FF5C64" w:rsidRPr="00207D95" w:rsidRDefault="00FF5C64" w:rsidP="00FF5C64">
      <w:pPr>
        <w:jc w:val="left"/>
        <w:rPr>
          <w:rFonts w:ascii="Aptos" w:hAnsi="Aptos" w:cstheme="majorHAnsi"/>
          <w:lang w:val="es-AR"/>
        </w:rPr>
      </w:pPr>
      <w:r w:rsidRPr="00207D95">
        <w:rPr>
          <w:rFonts w:ascii="Aptos" w:hAnsi="Aptos" w:cstheme="majorHAnsi"/>
          <w:lang w:val="es-AR"/>
        </w:rPr>
        <w:t xml:space="preserve">El </w:t>
      </w:r>
      <w:r w:rsidRPr="00E76EFE">
        <w:rPr>
          <w:rFonts w:ascii="Aptos" w:hAnsi="Aptos" w:cstheme="majorHAnsi"/>
          <w:b/>
          <w:bCs/>
          <w:lang w:val="es-AR"/>
        </w:rPr>
        <w:t>resultado operativo del segmento de Holding y otros negocios</w:t>
      </w:r>
      <w:r w:rsidRPr="00207D95">
        <w:rPr>
          <w:rFonts w:ascii="Aptos" w:hAnsi="Aptos" w:cstheme="majorHAnsi"/>
          <w:lang w:val="es-AR"/>
        </w:rPr>
        <w:t xml:space="preserve"> fue de € -536 millones (€ -415 millones FY2023).</w:t>
      </w:r>
    </w:p>
    <w:p w14:paraId="2EBF42EE" w14:textId="77777777" w:rsidR="00FF5C64" w:rsidRPr="00207D95" w:rsidRDefault="00FF5C64" w:rsidP="00FF5C64">
      <w:pPr>
        <w:jc w:val="left"/>
        <w:rPr>
          <w:rFonts w:ascii="Aptos" w:hAnsi="Aptos" w:cstheme="majorHAnsi"/>
          <w:lang w:val="es-AR"/>
        </w:rPr>
      </w:pPr>
    </w:p>
    <w:p w14:paraId="13D6C2DF" w14:textId="77777777" w:rsidR="002C7490" w:rsidRPr="00207D95" w:rsidRDefault="00FF5C64" w:rsidP="00FF5C64">
      <w:pPr>
        <w:jc w:val="left"/>
        <w:rPr>
          <w:rFonts w:ascii="Aptos" w:hAnsi="Aptos" w:cstheme="majorHAnsi"/>
          <w:lang w:val="es-AR"/>
        </w:rPr>
      </w:pPr>
      <w:r w:rsidRPr="00207D95">
        <w:rPr>
          <w:rFonts w:ascii="Aptos" w:hAnsi="Aptos" w:cstheme="majorHAnsi"/>
          <w:lang w:val="es-AR"/>
        </w:rPr>
        <w:t>El resultado operativo de Otros negocios ascendió a € 157 millones (€ 252 millones FY2023), impactado por menores dividendos intragrupo. Los gastos operativos crecieron un 3,8% reflejando principalmente el mayor costo de pagos basados en acciones y mayores costos de desarrollo relacionados con proyectos internos.</w:t>
      </w:r>
    </w:p>
    <w:p w14:paraId="33DBF1AF" w14:textId="77777777" w:rsidR="002C7490" w:rsidRPr="00207D95" w:rsidRDefault="002C7490">
      <w:pPr>
        <w:jc w:val="left"/>
        <w:rPr>
          <w:rFonts w:ascii="Aptos" w:hAnsi="Aptos" w:cstheme="majorHAnsi"/>
          <w:lang w:val="es-AR"/>
        </w:rPr>
      </w:pPr>
      <w:r w:rsidRPr="00207D95">
        <w:rPr>
          <w:rFonts w:ascii="Aptos" w:hAnsi="Aptos" w:cstheme="majorHAnsi"/>
          <w:lang w:val="es-AR"/>
        </w:rPr>
        <w:br w:type="page"/>
      </w:r>
    </w:p>
    <w:p w14:paraId="55713152" w14:textId="77777777" w:rsidR="002C7490" w:rsidRPr="00207D95" w:rsidRDefault="002C7490">
      <w:pPr>
        <w:jc w:val="left"/>
        <w:rPr>
          <w:rFonts w:ascii="Aptos" w:hAnsi="Aptos" w:cstheme="majorHAnsi"/>
          <w:lang w:val="es-AR"/>
        </w:rPr>
      </w:pPr>
    </w:p>
    <w:p w14:paraId="66E974FF" w14:textId="77777777" w:rsidR="002C7490" w:rsidRPr="00207D95" w:rsidRDefault="002C7490">
      <w:pPr>
        <w:jc w:val="left"/>
        <w:rPr>
          <w:rFonts w:ascii="Aptos" w:hAnsi="Aptos" w:cstheme="majorHAnsi"/>
          <w:lang w:val="es-AR"/>
        </w:rPr>
      </w:pPr>
    </w:p>
    <w:p w14:paraId="4A8CCB16" w14:textId="77777777" w:rsidR="00DF059B" w:rsidRPr="00C30672" w:rsidRDefault="00DF059B" w:rsidP="00E76EFE">
      <w:pPr>
        <w:pStyle w:val="Ttulo1"/>
        <w:spacing w:before="0"/>
        <w:jc w:val="both"/>
        <w:rPr>
          <w:rFonts w:ascii="Aptos" w:hAnsi="Aptos"/>
          <w:lang w:val="es-AR"/>
        </w:rPr>
      </w:pPr>
      <w:r w:rsidRPr="00C30672">
        <w:rPr>
          <w:rFonts w:ascii="Aptos" w:hAnsi="Aptos"/>
          <w:lang w:val="es-AR"/>
        </w:rPr>
        <w:t>SOLVENCIA, GENERACIÓN DE CAPITAL Y FLUJO DE CAJA NETO DEL HOLDING</w:t>
      </w:r>
    </w:p>
    <w:p w14:paraId="1657F385" w14:textId="08FEAFAB" w:rsidR="00DF059B" w:rsidRPr="00E76EFE" w:rsidRDefault="00FA268D" w:rsidP="00E76EFE">
      <w:pPr>
        <w:pStyle w:val="Prrafodelista"/>
        <w:numPr>
          <w:ilvl w:val="0"/>
          <w:numId w:val="26"/>
        </w:numPr>
        <w:jc w:val="left"/>
        <w:rPr>
          <w:rFonts w:ascii="Aptos" w:hAnsi="Aptos" w:cstheme="majorHAnsi"/>
          <w:lang w:val="es-AR"/>
        </w:rPr>
      </w:pPr>
      <w:r>
        <w:rPr>
          <w:rFonts w:ascii="Aptos" w:hAnsi="Aptos" w:cstheme="majorHAnsi"/>
          <w:lang w:val="es-AR"/>
        </w:rPr>
        <w:t>S</w:t>
      </w:r>
      <w:r w:rsidRPr="00E76EFE">
        <w:rPr>
          <w:rFonts w:ascii="Aptos" w:hAnsi="Aptos" w:cstheme="majorHAnsi"/>
          <w:lang w:val="es-AR"/>
        </w:rPr>
        <w:t xml:space="preserve">ólida </w:t>
      </w:r>
      <w:r>
        <w:rPr>
          <w:rFonts w:ascii="Aptos" w:hAnsi="Aptos" w:cstheme="majorHAnsi"/>
          <w:lang w:val="es-AR"/>
        </w:rPr>
        <w:t>p</w:t>
      </w:r>
      <w:r w:rsidR="00DF059B" w:rsidRPr="00E76EFE">
        <w:rPr>
          <w:rFonts w:ascii="Aptos" w:hAnsi="Aptos" w:cstheme="majorHAnsi"/>
          <w:lang w:val="es-AR"/>
        </w:rPr>
        <w:t>osición de capital con el Ratio de Solvencia en 210% (220% FY2023)</w:t>
      </w:r>
    </w:p>
    <w:p w14:paraId="4725F7B4" w14:textId="16B25D60" w:rsidR="00DF059B" w:rsidRPr="00E76EFE" w:rsidRDefault="00DF059B" w:rsidP="00E76EFE">
      <w:pPr>
        <w:pStyle w:val="Prrafodelista"/>
        <w:numPr>
          <w:ilvl w:val="0"/>
          <w:numId w:val="26"/>
        </w:numPr>
        <w:jc w:val="left"/>
        <w:rPr>
          <w:rFonts w:ascii="Aptos" w:hAnsi="Aptos" w:cstheme="majorHAnsi"/>
          <w:lang w:val="es-AR"/>
        </w:rPr>
      </w:pPr>
      <w:r w:rsidRPr="00E76EFE">
        <w:rPr>
          <w:rFonts w:ascii="Aptos" w:hAnsi="Aptos" w:cstheme="majorHAnsi"/>
          <w:lang w:val="es-AR"/>
        </w:rPr>
        <w:t>Continua fuerte Generación de Capital Normalizado del Grupo aumentando a € 4,8 mil millones</w:t>
      </w:r>
    </w:p>
    <w:p w14:paraId="169C8BAF" w14:textId="2331FA03" w:rsidR="00DF059B" w:rsidRPr="00E76EFE" w:rsidRDefault="00DF059B" w:rsidP="00E76EFE">
      <w:pPr>
        <w:pStyle w:val="Prrafodelista"/>
        <w:numPr>
          <w:ilvl w:val="0"/>
          <w:numId w:val="26"/>
        </w:numPr>
        <w:jc w:val="left"/>
        <w:rPr>
          <w:rFonts w:ascii="Aptos" w:hAnsi="Aptos" w:cstheme="majorHAnsi"/>
          <w:lang w:val="es-AR"/>
        </w:rPr>
      </w:pPr>
      <w:r w:rsidRPr="00E76EFE">
        <w:rPr>
          <w:rFonts w:ascii="Aptos" w:hAnsi="Aptos" w:cstheme="majorHAnsi"/>
          <w:lang w:val="es-AR"/>
        </w:rPr>
        <w:t>Aumento sostenido en el Flujo de Caja Neto del Holding llegando a € 3,8 mil millones respaldado por el crecimiento de las remesas</w:t>
      </w:r>
      <w:r w:rsidR="00E76EFE">
        <w:rPr>
          <w:rFonts w:ascii="Aptos" w:hAnsi="Aptos" w:cstheme="majorHAnsi"/>
          <w:lang w:val="es-AR"/>
        </w:rPr>
        <w:t>.</w:t>
      </w:r>
    </w:p>
    <w:p w14:paraId="748154A0" w14:textId="0C52C916" w:rsidR="00E76EFE" w:rsidRDefault="00954060" w:rsidP="00954060">
      <w:pPr>
        <w:jc w:val="center"/>
        <w:rPr>
          <w:rFonts w:ascii="Aptos" w:hAnsi="Aptos" w:cstheme="majorHAnsi"/>
          <w:lang w:val="es-AR"/>
        </w:rPr>
      </w:pPr>
      <w:r w:rsidRPr="00954060">
        <w:rPr>
          <w:rFonts w:ascii="Aptos" w:hAnsi="Aptos" w:cstheme="majorHAnsi"/>
          <w:noProof/>
          <w:lang w:val="es-AR"/>
        </w:rPr>
        <w:drawing>
          <wp:inline distT="0" distB="0" distL="0" distR="0" wp14:anchorId="5EF90AAF" wp14:editId="06D78501">
            <wp:extent cx="4180642" cy="1256102"/>
            <wp:effectExtent l="0" t="0" r="0" b="1270"/>
            <wp:docPr id="25033509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35096" name="Imagen 1" descr="Tabla&#10;&#10;El contenido generado por IA puede ser incorrecto."/>
                    <pic:cNvPicPr/>
                  </pic:nvPicPr>
                  <pic:blipFill>
                    <a:blip r:embed="rId18"/>
                    <a:stretch>
                      <a:fillRect/>
                    </a:stretch>
                  </pic:blipFill>
                  <pic:spPr>
                    <a:xfrm>
                      <a:off x="0" y="0"/>
                      <a:ext cx="4205214" cy="1263485"/>
                    </a:xfrm>
                    <a:prstGeom prst="rect">
                      <a:avLst/>
                    </a:prstGeom>
                  </pic:spPr>
                </pic:pic>
              </a:graphicData>
            </a:graphic>
          </wp:inline>
        </w:drawing>
      </w:r>
    </w:p>
    <w:p w14:paraId="21F89F61" w14:textId="77777777" w:rsidR="00954060" w:rsidRDefault="00954060" w:rsidP="00DF059B">
      <w:pPr>
        <w:jc w:val="left"/>
        <w:rPr>
          <w:rFonts w:ascii="Aptos" w:hAnsi="Aptos" w:cstheme="majorHAnsi"/>
          <w:lang w:val="es-AR"/>
        </w:rPr>
      </w:pPr>
    </w:p>
    <w:p w14:paraId="0EA78381" w14:textId="4F511437" w:rsidR="00DF059B" w:rsidRPr="00207D95" w:rsidRDefault="00DF059B" w:rsidP="00DF059B">
      <w:pPr>
        <w:jc w:val="left"/>
        <w:rPr>
          <w:rFonts w:ascii="Aptos" w:hAnsi="Aptos" w:cstheme="majorHAnsi"/>
          <w:lang w:val="es-AR"/>
        </w:rPr>
      </w:pPr>
      <w:r w:rsidRPr="00207D95">
        <w:rPr>
          <w:rFonts w:ascii="Aptos" w:hAnsi="Aptos" w:cstheme="majorHAnsi"/>
          <w:lang w:val="es-AR"/>
        </w:rPr>
        <w:t xml:space="preserve">El Grupo confirma su sólida posición de capital con un Ratio de Solvencia en 210% (220% FY2023). La robusta contribución de la generación de capital (+21 p.p.) fue más que compensada por el efecto de las operaciones de M&amp;A completadas durante 2024 (-8 p.p., impulsadas principalmente por la adquisición de Liberty Seguros), variaciones económicas (-9 p.p., principalmente debido a la ampliación de los diferenciales de bonos gubernamentales no domésticos y la disminución de las tasas de interés, parcialmente mitigadas por el desempeño positivo del mercado de valores), variaciones no económicas (-1 p.p. principalmente debido a la tendencia de lapsos en Italia y Francia y la actualización de las suposiciones relacionadas parcialmente compensadas por posiciones de derivados y actividades de reducción de riesgos en el mercado de valores), cambios regulatorios (-4 p.p., en gran parte atribuibles a los cambios introducidos por EIOPA a principios de año y la inelegibilidad de la deuda subordinada transferida de </w:t>
      </w:r>
      <w:proofErr w:type="spellStart"/>
      <w:r w:rsidRPr="00207D95">
        <w:rPr>
          <w:rFonts w:ascii="Aptos" w:hAnsi="Aptos" w:cstheme="majorHAnsi"/>
          <w:lang w:val="es-AR"/>
        </w:rPr>
        <w:t>Genertel</w:t>
      </w:r>
      <w:proofErr w:type="spellEnd"/>
      <w:r w:rsidRPr="00207D95">
        <w:rPr>
          <w:rFonts w:ascii="Aptos" w:hAnsi="Aptos" w:cstheme="majorHAnsi"/>
          <w:lang w:val="es-AR"/>
        </w:rPr>
        <w:t xml:space="preserve"> a </w:t>
      </w:r>
      <w:proofErr w:type="spellStart"/>
      <w:r w:rsidRPr="00207D95">
        <w:rPr>
          <w:rFonts w:ascii="Aptos" w:hAnsi="Aptos" w:cstheme="majorHAnsi"/>
          <w:lang w:val="es-AR"/>
        </w:rPr>
        <w:t>Assicurazioni</w:t>
      </w:r>
      <w:proofErr w:type="spellEnd"/>
      <w:r w:rsidRPr="00207D95">
        <w:rPr>
          <w:rFonts w:ascii="Aptos" w:hAnsi="Aptos" w:cstheme="majorHAnsi"/>
          <w:lang w:val="es-AR"/>
        </w:rPr>
        <w:t xml:space="preserve"> Generali) y movimientos de capital (-9 p.p., derivados del impacto del dividendo del período y el programa de recompra de acciones, neto de la emisión de deuda subordinada completada en el último trimestre). El impacto de la recompra de acciones de € 500 millones anunciada en el Día del Inversor en enero de 2025 se contabilizará en el Ratio de Solvencia después de haber recibido todas las aprobaciones regulatorias.</w:t>
      </w:r>
    </w:p>
    <w:p w14:paraId="4B6CB7EA" w14:textId="77777777" w:rsidR="00DF059B" w:rsidRPr="00207D95" w:rsidRDefault="00DF059B" w:rsidP="00DF059B">
      <w:pPr>
        <w:jc w:val="left"/>
        <w:rPr>
          <w:rFonts w:ascii="Aptos" w:hAnsi="Aptos" w:cstheme="majorHAnsi"/>
          <w:lang w:val="es-AR"/>
        </w:rPr>
      </w:pPr>
    </w:p>
    <w:p w14:paraId="24D873DC" w14:textId="77777777" w:rsidR="00DF059B" w:rsidRPr="00207D95" w:rsidRDefault="00DF059B" w:rsidP="00DF059B">
      <w:pPr>
        <w:jc w:val="left"/>
        <w:rPr>
          <w:rFonts w:ascii="Aptos" w:hAnsi="Aptos" w:cstheme="majorHAnsi"/>
          <w:lang w:val="es-AR"/>
        </w:rPr>
      </w:pPr>
      <w:r w:rsidRPr="00207D95">
        <w:rPr>
          <w:rFonts w:ascii="Aptos" w:hAnsi="Aptos" w:cstheme="majorHAnsi"/>
          <w:lang w:val="es-AR"/>
        </w:rPr>
        <w:t xml:space="preserve">La </w:t>
      </w:r>
      <w:r w:rsidRPr="00E76EFE">
        <w:rPr>
          <w:rFonts w:ascii="Aptos" w:hAnsi="Aptos" w:cstheme="majorHAnsi"/>
          <w:b/>
          <w:bCs/>
          <w:lang w:val="es-AR"/>
        </w:rPr>
        <w:t>Generación de Capital Normalizado del Grupo</w:t>
      </w:r>
      <w:r w:rsidRPr="00207D95">
        <w:rPr>
          <w:rFonts w:ascii="Aptos" w:hAnsi="Aptos" w:cstheme="majorHAnsi"/>
          <w:lang w:val="es-AR"/>
        </w:rPr>
        <w:t xml:space="preserve"> aumentó a € 4,8 mil millones (€ 4,6 mil millones FY2023), apoyada por la contribución positiva tanto de Vida como de P&amp;C, y reflejando también la recompra de acciones para los propósitos del Plan de Incentivo a Largo Plazo (LTIP) así como los planes de incentivo y remuneración del Grupo en ejecución, que anteriormente se informaban como variaciones no económicas.</w:t>
      </w:r>
    </w:p>
    <w:p w14:paraId="1EE18F53" w14:textId="77777777" w:rsidR="00DF059B" w:rsidRPr="00207D95" w:rsidRDefault="00DF059B" w:rsidP="00DF059B">
      <w:pPr>
        <w:jc w:val="left"/>
        <w:rPr>
          <w:rFonts w:ascii="Aptos" w:hAnsi="Aptos" w:cstheme="majorHAnsi"/>
          <w:lang w:val="es-AR"/>
        </w:rPr>
      </w:pPr>
    </w:p>
    <w:p w14:paraId="4AA4BCD0" w14:textId="4E4412CE" w:rsidR="002C7490" w:rsidRPr="00207D95" w:rsidRDefault="00DF059B" w:rsidP="00DF059B">
      <w:pPr>
        <w:jc w:val="left"/>
        <w:rPr>
          <w:rFonts w:ascii="Aptos" w:hAnsi="Aptos" w:cstheme="majorHAnsi"/>
          <w:lang w:val="es-AR"/>
        </w:rPr>
      </w:pPr>
      <w:r w:rsidRPr="00207D95">
        <w:rPr>
          <w:rFonts w:ascii="Aptos" w:hAnsi="Aptos" w:cstheme="majorHAnsi"/>
          <w:lang w:val="es-AR"/>
        </w:rPr>
        <w:t xml:space="preserve">El </w:t>
      </w:r>
      <w:r w:rsidRPr="00E76EFE">
        <w:rPr>
          <w:rFonts w:ascii="Aptos" w:hAnsi="Aptos" w:cstheme="majorHAnsi"/>
          <w:b/>
          <w:bCs/>
          <w:lang w:val="es-AR"/>
        </w:rPr>
        <w:t>Flujo de Caja Neto del Holding</w:t>
      </w:r>
      <w:r w:rsidRPr="00207D95">
        <w:rPr>
          <w:rFonts w:ascii="Aptos" w:hAnsi="Aptos" w:cstheme="majorHAnsi"/>
          <w:lang w:val="es-AR"/>
        </w:rPr>
        <w:t xml:space="preserve"> aumentó a € 3,8 mil millones (€ 2,9 mil millones FY2023), principalmente gracias al crecimiento de las remesas impulsado por la contribución positiva de las acciones de Gestión de Capital y el crecimiento constante del componente recurrente.</w:t>
      </w:r>
    </w:p>
    <w:p w14:paraId="001B782E" w14:textId="77777777" w:rsidR="002C7490" w:rsidRPr="00207D95" w:rsidRDefault="002C7490">
      <w:pPr>
        <w:jc w:val="left"/>
        <w:rPr>
          <w:rFonts w:ascii="Aptos" w:hAnsi="Aptos" w:cstheme="majorHAnsi"/>
          <w:lang w:val="es-AR"/>
        </w:rPr>
      </w:pPr>
    </w:p>
    <w:p w14:paraId="4107DACC" w14:textId="77777777" w:rsidR="002C7490" w:rsidRPr="00207D95" w:rsidRDefault="002C7490">
      <w:pPr>
        <w:jc w:val="left"/>
        <w:rPr>
          <w:rFonts w:ascii="Aptos" w:hAnsi="Aptos" w:cstheme="majorHAnsi"/>
          <w:lang w:val="es-AR"/>
        </w:rPr>
      </w:pPr>
    </w:p>
    <w:p w14:paraId="6DEC79D3" w14:textId="77777777" w:rsidR="002C7490" w:rsidRPr="00207D95" w:rsidRDefault="002C7490">
      <w:pPr>
        <w:jc w:val="left"/>
        <w:rPr>
          <w:rFonts w:ascii="Aptos" w:hAnsi="Aptos" w:cstheme="majorHAnsi"/>
          <w:lang w:val="es-AR"/>
        </w:rPr>
      </w:pPr>
    </w:p>
    <w:p w14:paraId="030F197F" w14:textId="77777777" w:rsidR="00E76EFE" w:rsidRPr="00C30672" w:rsidRDefault="00E76EFE">
      <w:pPr>
        <w:jc w:val="left"/>
        <w:rPr>
          <w:rFonts w:ascii="Aptos" w:eastAsiaTheme="majorEastAsia" w:hAnsi="Aptos" w:cs="Times New Roman (Titoli CS)"/>
          <w:b/>
          <w:caps/>
          <w:color w:val="C21B17" w:themeColor="accent1"/>
          <w:sz w:val="30"/>
          <w:szCs w:val="32"/>
          <w:lang w:val="es-AR"/>
        </w:rPr>
      </w:pPr>
      <w:r w:rsidRPr="00C30672">
        <w:rPr>
          <w:rFonts w:ascii="Aptos" w:hAnsi="Aptos"/>
          <w:lang w:val="es-AR"/>
        </w:rPr>
        <w:br w:type="page"/>
      </w:r>
    </w:p>
    <w:p w14:paraId="3CD1C654" w14:textId="216D8EE1" w:rsidR="007D0FBA" w:rsidRPr="00C30672" w:rsidRDefault="007D0FBA" w:rsidP="00E76EFE">
      <w:pPr>
        <w:pStyle w:val="Ttulo1"/>
        <w:spacing w:before="0"/>
        <w:jc w:val="both"/>
        <w:rPr>
          <w:rFonts w:ascii="Aptos" w:hAnsi="Aptos"/>
          <w:lang w:val="es-AR"/>
        </w:rPr>
      </w:pPr>
      <w:r w:rsidRPr="00C30672">
        <w:rPr>
          <w:rFonts w:ascii="Aptos" w:hAnsi="Aptos"/>
          <w:lang w:val="es-AR"/>
        </w:rPr>
        <w:lastRenderedPageBreak/>
        <w:t>PERSPECTIVAS</w:t>
      </w:r>
    </w:p>
    <w:p w14:paraId="56B25EA7" w14:textId="77777777" w:rsidR="007D0FBA" w:rsidRPr="00207D95" w:rsidRDefault="007D0FBA" w:rsidP="007D0FBA">
      <w:pPr>
        <w:jc w:val="left"/>
        <w:rPr>
          <w:rFonts w:ascii="Aptos" w:hAnsi="Aptos" w:cstheme="majorHAnsi"/>
          <w:lang w:val="es-AR"/>
        </w:rPr>
      </w:pPr>
      <w:r w:rsidRPr="00207D95">
        <w:rPr>
          <w:rFonts w:ascii="Aptos" w:hAnsi="Aptos" w:cstheme="majorHAnsi"/>
          <w:lang w:val="es-AR"/>
        </w:rPr>
        <w:t xml:space="preserve">Se espera que la economía global crezca alrededor del 3% en 2025, similar a 2024, gracias a mercados laborales resilientes y al sector de servicios. Estados Unidos tuvo un tropiezo en el primer trimestre, pero aún se espera que continúe superando a otras economías avanzadas. Mientras tanto, la zona euro puede verse afectada por incertidumbres comerciales, pero se espera una mejora modesta en la segunda mitad del año. Las crecientes tensiones en la alianza transatlántica implican una relajación de las restricciones fiscales de la UE para financiar el gasto en defensa. La desinflación progresa a un ritmo lento a nivel mundial, a medida que el crecimiento salarial se normaliza. Los aranceles de </w:t>
      </w:r>
      <w:proofErr w:type="gramStart"/>
      <w:r w:rsidRPr="00207D95">
        <w:rPr>
          <w:rFonts w:ascii="Aptos" w:hAnsi="Aptos" w:cstheme="majorHAnsi"/>
          <w:lang w:val="es-AR"/>
        </w:rPr>
        <w:t>EE.UU.</w:t>
      </w:r>
      <w:proofErr w:type="gramEnd"/>
      <w:r w:rsidRPr="00207D95">
        <w:rPr>
          <w:rFonts w:ascii="Aptos" w:hAnsi="Aptos" w:cstheme="majorHAnsi"/>
          <w:lang w:val="es-AR"/>
        </w:rPr>
        <w:t xml:space="preserve"> y las represalias consiguientes podrían ralentizar aún más este progreso. Después de moverse en gran medida en conjunto en los recortes de tasas en 2024, los caminos de la Fed y el BCE han comenzado a divergir, con la Fed posiblemente esperando hasta mediados de año mientras que el BCE ha procedido con un sexto recorte de tasas a principios de marzo.</w:t>
      </w:r>
    </w:p>
    <w:p w14:paraId="13E61A37" w14:textId="77777777" w:rsidR="007D0FBA" w:rsidRPr="00207D95" w:rsidRDefault="007D0FBA" w:rsidP="007D0FBA">
      <w:pPr>
        <w:jc w:val="left"/>
        <w:rPr>
          <w:rFonts w:ascii="Aptos" w:hAnsi="Aptos" w:cstheme="majorHAnsi"/>
          <w:lang w:val="es-AR"/>
        </w:rPr>
      </w:pPr>
    </w:p>
    <w:p w14:paraId="7D8878E2" w14:textId="77777777" w:rsidR="007D0FBA" w:rsidRPr="00207D95" w:rsidRDefault="007D0FBA" w:rsidP="007D0FBA">
      <w:pPr>
        <w:jc w:val="left"/>
        <w:rPr>
          <w:rFonts w:ascii="Aptos" w:hAnsi="Aptos" w:cstheme="majorHAnsi"/>
          <w:lang w:val="es-AR"/>
        </w:rPr>
      </w:pPr>
      <w:r w:rsidRPr="00207D95">
        <w:rPr>
          <w:rFonts w:ascii="Aptos" w:hAnsi="Aptos" w:cstheme="majorHAnsi"/>
          <w:lang w:val="es-AR"/>
        </w:rPr>
        <w:t xml:space="preserve">Con el nuevo plan estratégico </w:t>
      </w:r>
      <w:proofErr w:type="spellStart"/>
      <w:r w:rsidRPr="00DD55EA">
        <w:rPr>
          <w:rFonts w:ascii="Aptos" w:hAnsi="Aptos" w:cstheme="majorHAnsi"/>
          <w:i/>
          <w:iCs/>
          <w:lang w:val="es-AR"/>
        </w:rPr>
        <w:t>Lifetime</w:t>
      </w:r>
      <w:proofErr w:type="spellEnd"/>
      <w:r w:rsidRPr="00DD55EA">
        <w:rPr>
          <w:rFonts w:ascii="Aptos" w:hAnsi="Aptos" w:cstheme="majorHAnsi"/>
          <w:i/>
          <w:iCs/>
          <w:lang w:val="es-AR"/>
        </w:rPr>
        <w:t xml:space="preserve"> </w:t>
      </w:r>
      <w:proofErr w:type="spellStart"/>
      <w:r w:rsidRPr="00DD55EA">
        <w:rPr>
          <w:rFonts w:ascii="Aptos" w:hAnsi="Aptos" w:cstheme="majorHAnsi"/>
          <w:i/>
          <w:iCs/>
          <w:lang w:val="es-AR"/>
        </w:rPr>
        <w:t>Partner</w:t>
      </w:r>
      <w:proofErr w:type="spellEnd"/>
      <w:r w:rsidRPr="00DD55EA">
        <w:rPr>
          <w:rFonts w:ascii="Aptos" w:hAnsi="Aptos" w:cstheme="majorHAnsi"/>
          <w:i/>
          <w:iCs/>
          <w:lang w:val="es-AR"/>
        </w:rPr>
        <w:t xml:space="preserve"> 27: </w:t>
      </w:r>
      <w:proofErr w:type="spellStart"/>
      <w:r w:rsidRPr="00DD55EA">
        <w:rPr>
          <w:rFonts w:ascii="Aptos" w:hAnsi="Aptos" w:cstheme="majorHAnsi"/>
          <w:i/>
          <w:iCs/>
          <w:lang w:val="es-AR"/>
        </w:rPr>
        <w:t>Driving</w:t>
      </w:r>
      <w:proofErr w:type="spellEnd"/>
      <w:r w:rsidRPr="00DD55EA">
        <w:rPr>
          <w:rFonts w:ascii="Aptos" w:hAnsi="Aptos" w:cstheme="majorHAnsi"/>
          <w:i/>
          <w:iCs/>
          <w:lang w:val="es-AR"/>
        </w:rPr>
        <w:t xml:space="preserve"> </w:t>
      </w:r>
      <w:proofErr w:type="spellStart"/>
      <w:r w:rsidRPr="00DD55EA">
        <w:rPr>
          <w:rFonts w:ascii="Aptos" w:hAnsi="Aptos" w:cstheme="majorHAnsi"/>
          <w:i/>
          <w:iCs/>
          <w:lang w:val="es-AR"/>
        </w:rPr>
        <w:t>Excellence</w:t>
      </w:r>
      <w:proofErr w:type="spellEnd"/>
      <w:r w:rsidRPr="00207D95">
        <w:rPr>
          <w:rFonts w:ascii="Aptos" w:hAnsi="Aptos" w:cstheme="majorHAnsi"/>
          <w:lang w:val="es-AR"/>
        </w:rPr>
        <w:t>, que se enfoca en la excelencia en las relaciones con los clientes, la excelencia en las capacidades centrales y la excelencia en el modelo operativo del Grupo, el Grupo acelerará el crecimiento rentable en Vida aprovechando su amplia base de clientes y su fuerte huella de distribución. Además, el Grupo mejorará la competencia técnica para aumentar la rentabilidad y mejorar la efectividad escalando los activos del Grupo en toda la cadena de valor. El enfoque permanecerá en la simplificación y la innovación, ofreciendo soluciones actualizadas e integradas para adaptarse a las necesidades cambiantes de los clientes a lo largo de su vida.</w:t>
      </w:r>
    </w:p>
    <w:p w14:paraId="77926C2F" w14:textId="77777777" w:rsidR="007D0FBA" w:rsidRPr="00207D95" w:rsidRDefault="007D0FBA" w:rsidP="007D0FBA">
      <w:pPr>
        <w:jc w:val="left"/>
        <w:rPr>
          <w:rFonts w:ascii="Aptos" w:hAnsi="Aptos" w:cstheme="majorHAnsi"/>
          <w:lang w:val="es-AR"/>
        </w:rPr>
      </w:pPr>
    </w:p>
    <w:p w14:paraId="474D5177" w14:textId="77777777" w:rsidR="007D0FBA" w:rsidRPr="00207D95" w:rsidRDefault="007D0FBA" w:rsidP="007D0FBA">
      <w:pPr>
        <w:jc w:val="left"/>
        <w:rPr>
          <w:rFonts w:ascii="Aptos" w:hAnsi="Aptos" w:cstheme="majorHAnsi"/>
          <w:lang w:val="es-AR"/>
        </w:rPr>
      </w:pPr>
      <w:r w:rsidRPr="00207D95">
        <w:rPr>
          <w:rFonts w:ascii="Aptos" w:hAnsi="Aptos" w:cstheme="majorHAnsi"/>
          <w:lang w:val="es-AR"/>
        </w:rPr>
        <w:t xml:space="preserve">En </w:t>
      </w:r>
      <w:r w:rsidRPr="00E76EFE">
        <w:rPr>
          <w:rFonts w:ascii="Aptos" w:hAnsi="Aptos" w:cstheme="majorHAnsi"/>
          <w:b/>
          <w:bCs/>
          <w:color w:val="C00000"/>
          <w:lang w:val="es-AR"/>
        </w:rPr>
        <w:t>Vida</w:t>
      </w:r>
      <w:r w:rsidRPr="00207D95">
        <w:rPr>
          <w:rFonts w:ascii="Aptos" w:hAnsi="Aptos" w:cstheme="majorHAnsi"/>
          <w:lang w:val="es-AR"/>
        </w:rPr>
        <w:t xml:space="preserve">, las áreas de enfoque primarias incluyen protección y salud, así como ahorros de bajo capital con el objetivo de crear una amplia gama de soluciones de seguros adaptadas a diferentes perfiles de riesgo e inversión para el beneficio tanto del asegurado como del Grupo. Para los productos de protección y salud, el Grupo tiene como objetivo ofrecer servicios integrados de extremo a extremo y también mejorará aún más la experiencia del cliente y la distribución. Las ofertas híbridas y </w:t>
      </w:r>
      <w:proofErr w:type="spellStart"/>
      <w:r w:rsidRPr="00207D95">
        <w:rPr>
          <w:rFonts w:ascii="Aptos" w:hAnsi="Aptos" w:cstheme="majorHAnsi"/>
          <w:lang w:val="es-AR"/>
        </w:rPr>
        <w:t>unit-linked</w:t>
      </w:r>
      <w:proofErr w:type="spellEnd"/>
      <w:r w:rsidRPr="00207D95">
        <w:rPr>
          <w:rFonts w:ascii="Aptos" w:hAnsi="Aptos" w:cstheme="majorHAnsi"/>
          <w:lang w:val="es-AR"/>
        </w:rPr>
        <w:t xml:space="preserve"> seguirán siendo una prioridad para abordar las crecientes necesidades de seguridad financiera de los clientes con el objetivo de convertirse en el socio preferido para la jubilación y los ahorros.</w:t>
      </w:r>
    </w:p>
    <w:p w14:paraId="7C3B2EF3" w14:textId="77777777" w:rsidR="007D0FBA" w:rsidRPr="00207D95" w:rsidRDefault="007D0FBA" w:rsidP="007D0FBA">
      <w:pPr>
        <w:jc w:val="left"/>
        <w:rPr>
          <w:rFonts w:ascii="Aptos" w:hAnsi="Aptos" w:cstheme="majorHAnsi"/>
          <w:lang w:val="es-AR"/>
        </w:rPr>
      </w:pPr>
    </w:p>
    <w:p w14:paraId="05850FA0" w14:textId="77777777" w:rsidR="007D0FBA" w:rsidRPr="00207D95" w:rsidRDefault="007D0FBA" w:rsidP="007D0FBA">
      <w:pPr>
        <w:jc w:val="left"/>
        <w:rPr>
          <w:rFonts w:ascii="Aptos" w:hAnsi="Aptos" w:cstheme="majorHAnsi"/>
          <w:lang w:val="es-AR"/>
        </w:rPr>
      </w:pPr>
      <w:r w:rsidRPr="00207D95">
        <w:rPr>
          <w:rFonts w:ascii="Aptos" w:hAnsi="Aptos" w:cstheme="majorHAnsi"/>
          <w:lang w:val="es-AR"/>
        </w:rPr>
        <w:t xml:space="preserve">En </w:t>
      </w:r>
      <w:r w:rsidRPr="00E76EFE">
        <w:rPr>
          <w:rFonts w:ascii="Aptos" w:hAnsi="Aptos" w:cstheme="majorHAnsi"/>
          <w:b/>
          <w:bCs/>
          <w:color w:val="C00000"/>
          <w:lang w:val="es-AR"/>
        </w:rPr>
        <w:t>P&amp;C</w:t>
      </w:r>
      <w:r w:rsidRPr="00207D95">
        <w:rPr>
          <w:rFonts w:ascii="Aptos" w:hAnsi="Aptos" w:cstheme="majorHAnsi"/>
          <w:lang w:val="es-AR"/>
        </w:rPr>
        <w:t xml:space="preserve">, el objetivo de Generali es maximizar el crecimiento rentable con un enfoque en la línea no automotor, fortaleciendo su posición y oferta especialmente en países con alto potencial de crecimiento. El Grupo confirma y refuerza su enfoque adaptativo hacia los ajustes tarifarios, considerando también los crecientes costos de cobertura de reaseguro debido al aumento de reclamaciones por catástrofes naturales en los últimos años. La </w:t>
      </w:r>
      <w:proofErr w:type="gramStart"/>
      <w:r w:rsidRPr="00207D95">
        <w:rPr>
          <w:rFonts w:ascii="Aptos" w:hAnsi="Aptos" w:cstheme="majorHAnsi"/>
          <w:lang w:val="es-AR"/>
        </w:rPr>
        <w:t>oferta no automotor</w:t>
      </w:r>
      <w:proofErr w:type="gramEnd"/>
      <w:r w:rsidRPr="00207D95">
        <w:rPr>
          <w:rFonts w:ascii="Aptos" w:hAnsi="Aptos" w:cstheme="majorHAnsi"/>
          <w:lang w:val="es-AR"/>
        </w:rPr>
        <w:t xml:space="preserve"> continuará mejorándose con soluciones modulares adicionales diseñadas para satisfacer necesidades específicas de los clientes, proporcionando servicios de prevención, asistencia y protección mejorados e innovadores, habilitados por las últimas herramientas digitales.</w:t>
      </w:r>
    </w:p>
    <w:p w14:paraId="5CB51D9A" w14:textId="77777777" w:rsidR="007D0FBA" w:rsidRPr="00207D95" w:rsidRDefault="007D0FBA" w:rsidP="007D0FBA">
      <w:pPr>
        <w:jc w:val="left"/>
        <w:rPr>
          <w:rFonts w:ascii="Aptos" w:hAnsi="Aptos" w:cstheme="majorHAnsi"/>
          <w:lang w:val="es-AR"/>
        </w:rPr>
      </w:pPr>
    </w:p>
    <w:p w14:paraId="2B3D8ACB" w14:textId="77777777" w:rsidR="007D0FBA" w:rsidRPr="00207D95" w:rsidRDefault="007D0FBA" w:rsidP="007D0FBA">
      <w:pPr>
        <w:jc w:val="left"/>
        <w:rPr>
          <w:rFonts w:ascii="Aptos" w:hAnsi="Aptos" w:cstheme="majorHAnsi"/>
          <w:lang w:val="es-AR"/>
        </w:rPr>
      </w:pPr>
      <w:r w:rsidRPr="00207D95">
        <w:rPr>
          <w:rFonts w:ascii="Aptos" w:hAnsi="Aptos" w:cstheme="majorHAnsi"/>
          <w:lang w:val="es-AR"/>
        </w:rPr>
        <w:t xml:space="preserve">Con referencia a la </w:t>
      </w:r>
      <w:r w:rsidRPr="00E76EFE">
        <w:rPr>
          <w:rFonts w:ascii="Aptos" w:hAnsi="Aptos" w:cstheme="majorHAnsi"/>
          <w:b/>
          <w:bCs/>
          <w:color w:val="C00000"/>
          <w:lang w:val="es-AR"/>
        </w:rPr>
        <w:t>política de inversión</w:t>
      </w:r>
      <w:r w:rsidRPr="00207D95">
        <w:rPr>
          <w:rFonts w:ascii="Aptos" w:hAnsi="Aptos" w:cstheme="majorHAnsi"/>
          <w:lang w:val="es-AR"/>
        </w:rPr>
        <w:t xml:space="preserve"> del Grupo, continuará persiguiendo una estrategia de asignación de activos destinada a garantizar la consistencia con las obligaciones hacia los asegurados y, cuando sea apropiado, a aumentar los rendimientos actuales. Las inversiones en activos privados y reales continúan siendo una parte importante de la estrategia del Grupo, siguiendo un enfoque prudente que considera la menor liquidez de estos instrumentos. En el sector inmobiliario, el Grupo está persiguiendo tanto la diversificación geográfica como sectorial, monitoreando y evaluando de cerca las oportunidades del </w:t>
      </w:r>
      <w:proofErr w:type="gramStart"/>
      <w:r w:rsidRPr="00207D95">
        <w:rPr>
          <w:rFonts w:ascii="Aptos" w:hAnsi="Aptos" w:cstheme="majorHAnsi"/>
          <w:lang w:val="es-AR"/>
        </w:rPr>
        <w:t>mercado</w:t>
      </w:r>
      <w:proofErr w:type="gramEnd"/>
      <w:r w:rsidRPr="00207D95">
        <w:rPr>
          <w:rFonts w:ascii="Aptos" w:hAnsi="Aptos" w:cstheme="majorHAnsi"/>
          <w:lang w:val="es-AR"/>
        </w:rPr>
        <w:t xml:space="preserve"> así como la calidad de los activos.</w:t>
      </w:r>
    </w:p>
    <w:p w14:paraId="73024C29" w14:textId="77777777" w:rsidR="007D0FBA" w:rsidRPr="00207D95" w:rsidRDefault="007D0FBA" w:rsidP="007D0FBA">
      <w:pPr>
        <w:jc w:val="left"/>
        <w:rPr>
          <w:rFonts w:ascii="Aptos" w:hAnsi="Aptos" w:cstheme="majorHAnsi"/>
          <w:lang w:val="es-AR"/>
        </w:rPr>
      </w:pPr>
    </w:p>
    <w:p w14:paraId="3A30A67F" w14:textId="77777777" w:rsidR="007D0FBA" w:rsidRPr="00207D95" w:rsidRDefault="007D0FBA" w:rsidP="007D0FBA">
      <w:pPr>
        <w:jc w:val="left"/>
        <w:rPr>
          <w:rFonts w:ascii="Aptos" w:hAnsi="Aptos" w:cstheme="majorHAnsi"/>
          <w:lang w:val="es-AR"/>
        </w:rPr>
      </w:pPr>
      <w:r w:rsidRPr="00207D95">
        <w:rPr>
          <w:rFonts w:ascii="Aptos" w:hAnsi="Aptos" w:cstheme="majorHAnsi"/>
          <w:lang w:val="es-AR"/>
        </w:rPr>
        <w:t xml:space="preserve">En </w:t>
      </w:r>
      <w:r w:rsidRPr="00E76EFE">
        <w:rPr>
          <w:rFonts w:ascii="Aptos" w:hAnsi="Aptos" w:cstheme="majorHAnsi"/>
          <w:b/>
          <w:bCs/>
          <w:color w:val="C00000"/>
          <w:lang w:val="es-AR"/>
        </w:rPr>
        <w:t>Gestión de Activos y Patrimonios</w:t>
      </w:r>
      <w:r w:rsidRPr="00207D95">
        <w:rPr>
          <w:rFonts w:ascii="Aptos" w:hAnsi="Aptos" w:cstheme="majorHAnsi"/>
          <w:lang w:val="es-AR"/>
        </w:rPr>
        <w:t xml:space="preserve">, Gestión de Activos continuará expandiendo la oferta de productos, particularmente en activos reales y privados, mejorando las capacidades de distribución y extendiendo su presencia en nuevos mercados, apoyado además por la adquisición de </w:t>
      </w:r>
      <w:proofErr w:type="spellStart"/>
      <w:r w:rsidRPr="00207D95">
        <w:rPr>
          <w:rFonts w:ascii="Aptos" w:hAnsi="Aptos" w:cstheme="majorHAnsi"/>
          <w:lang w:val="es-AR"/>
        </w:rPr>
        <w:t>Conning</w:t>
      </w:r>
      <w:proofErr w:type="spellEnd"/>
      <w:r w:rsidRPr="00207D95">
        <w:rPr>
          <w:rFonts w:ascii="Aptos" w:hAnsi="Aptos" w:cstheme="majorHAnsi"/>
          <w:lang w:val="es-AR"/>
        </w:rPr>
        <w:t xml:space="preserve"> Holdings </w:t>
      </w:r>
      <w:proofErr w:type="spellStart"/>
      <w:r w:rsidRPr="00207D95">
        <w:rPr>
          <w:rFonts w:ascii="Aptos" w:hAnsi="Aptos" w:cstheme="majorHAnsi"/>
          <w:lang w:val="es-AR"/>
        </w:rPr>
        <w:t>Limited</w:t>
      </w:r>
      <w:proofErr w:type="spellEnd"/>
      <w:r w:rsidRPr="00207D95">
        <w:rPr>
          <w:rFonts w:ascii="Aptos" w:hAnsi="Aptos" w:cstheme="majorHAnsi"/>
          <w:lang w:val="es-AR"/>
        </w:rPr>
        <w:t>, completada en 2024. En Gestión de Patrimonios, el grupo Banca Generali continuará enfocándose en sus objetivos de tamaño, rentabilidad y alta remuneración a los accionistas.</w:t>
      </w:r>
    </w:p>
    <w:p w14:paraId="77703BA9" w14:textId="77777777" w:rsidR="007D0FBA" w:rsidRPr="00207D95" w:rsidRDefault="007D0FBA" w:rsidP="007D0FBA">
      <w:pPr>
        <w:jc w:val="left"/>
        <w:rPr>
          <w:rFonts w:ascii="Aptos" w:hAnsi="Aptos" w:cstheme="majorHAnsi"/>
          <w:lang w:val="es-AR"/>
        </w:rPr>
      </w:pPr>
    </w:p>
    <w:p w14:paraId="735E8956" w14:textId="77777777" w:rsidR="00382156" w:rsidRPr="00207D95" w:rsidRDefault="007D0FBA" w:rsidP="00382156">
      <w:pPr>
        <w:jc w:val="left"/>
        <w:rPr>
          <w:rFonts w:ascii="Aptos" w:hAnsi="Aptos" w:cstheme="majorHAnsi"/>
          <w:lang w:val="es-AR"/>
        </w:rPr>
      </w:pPr>
      <w:r w:rsidRPr="00207D95">
        <w:rPr>
          <w:rFonts w:ascii="Aptos" w:hAnsi="Aptos" w:cstheme="majorHAnsi"/>
          <w:lang w:val="es-AR"/>
        </w:rPr>
        <w:t xml:space="preserve">Después de superar exitosamente los objetivos financieros de su plan </w:t>
      </w:r>
      <w:proofErr w:type="spellStart"/>
      <w:r w:rsidRPr="00207D95">
        <w:rPr>
          <w:rFonts w:ascii="Aptos" w:hAnsi="Aptos" w:cstheme="majorHAnsi"/>
          <w:lang w:val="es-AR"/>
        </w:rPr>
        <w:t>Lifetime</w:t>
      </w:r>
      <w:proofErr w:type="spellEnd"/>
      <w:r w:rsidRPr="00207D95">
        <w:rPr>
          <w:rFonts w:ascii="Aptos" w:hAnsi="Aptos" w:cstheme="majorHAnsi"/>
          <w:lang w:val="es-AR"/>
        </w:rPr>
        <w:t xml:space="preserve"> </w:t>
      </w:r>
      <w:proofErr w:type="spellStart"/>
      <w:r w:rsidRPr="00207D95">
        <w:rPr>
          <w:rFonts w:ascii="Aptos" w:hAnsi="Aptos" w:cstheme="majorHAnsi"/>
          <w:lang w:val="es-AR"/>
        </w:rPr>
        <w:t>Partner</w:t>
      </w:r>
      <w:proofErr w:type="spellEnd"/>
      <w:r w:rsidRPr="00207D95">
        <w:rPr>
          <w:rFonts w:ascii="Aptos" w:hAnsi="Aptos" w:cstheme="majorHAnsi"/>
          <w:lang w:val="es-AR"/>
        </w:rPr>
        <w:t xml:space="preserve"> 24: </w:t>
      </w:r>
      <w:proofErr w:type="spellStart"/>
      <w:r w:rsidRPr="00207D95">
        <w:rPr>
          <w:rFonts w:ascii="Aptos" w:hAnsi="Aptos" w:cstheme="majorHAnsi"/>
          <w:lang w:val="es-AR"/>
        </w:rPr>
        <w:t>Driving</w:t>
      </w:r>
      <w:proofErr w:type="spellEnd"/>
      <w:r w:rsidRPr="00207D95">
        <w:rPr>
          <w:rFonts w:ascii="Aptos" w:hAnsi="Aptos" w:cstheme="majorHAnsi"/>
          <w:lang w:val="es-AR"/>
        </w:rPr>
        <w:t xml:space="preserve"> </w:t>
      </w:r>
      <w:proofErr w:type="spellStart"/>
      <w:r w:rsidRPr="00207D95">
        <w:rPr>
          <w:rFonts w:ascii="Aptos" w:hAnsi="Aptos" w:cstheme="majorHAnsi"/>
          <w:lang w:val="es-AR"/>
        </w:rPr>
        <w:t>Growth</w:t>
      </w:r>
      <w:proofErr w:type="spellEnd"/>
      <w:r w:rsidRPr="00207D95">
        <w:rPr>
          <w:rFonts w:ascii="Aptos" w:hAnsi="Aptos" w:cstheme="majorHAnsi"/>
          <w:lang w:val="es-AR"/>
        </w:rPr>
        <w:t xml:space="preserve">, el Grupo se compromete a entregar – a través del nuevo plan </w:t>
      </w:r>
      <w:proofErr w:type="spellStart"/>
      <w:r w:rsidRPr="00E76EFE">
        <w:rPr>
          <w:rFonts w:ascii="Aptos" w:hAnsi="Aptos" w:cstheme="majorHAnsi"/>
          <w:b/>
          <w:bCs/>
          <w:i/>
          <w:iCs/>
          <w:color w:val="C00000"/>
          <w:lang w:val="es-AR"/>
        </w:rPr>
        <w:t>Lifetime</w:t>
      </w:r>
      <w:proofErr w:type="spellEnd"/>
      <w:r w:rsidRPr="00E76EFE">
        <w:rPr>
          <w:rFonts w:ascii="Aptos" w:hAnsi="Aptos" w:cstheme="majorHAnsi"/>
          <w:b/>
          <w:bCs/>
          <w:i/>
          <w:iCs/>
          <w:color w:val="C00000"/>
          <w:lang w:val="es-AR"/>
        </w:rPr>
        <w:t xml:space="preserve"> </w:t>
      </w:r>
      <w:proofErr w:type="spellStart"/>
      <w:r w:rsidRPr="00E76EFE">
        <w:rPr>
          <w:rFonts w:ascii="Aptos" w:hAnsi="Aptos" w:cstheme="majorHAnsi"/>
          <w:b/>
          <w:bCs/>
          <w:i/>
          <w:iCs/>
          <w:color w:val="C00000"/>
          <w:lang w:val="es-AR"/>
        </w:rPr>
        <w:t>Partner</w:t>
      </w:r>
      <w:proofErr w:type="spellEnd"/>
      <w:r w:rsidRPr="00E76EFE">
        <w:rPr>
          <w:rFonts w:ascii="Aptos" w:hAnsi="Aptos" w:cstheme="majorHAnsi"/>
          <w:b/>
          <w:bCs/>
          <w:i/>
          <w:iCs/>
          <w:color w:val="C00000"/>
          <w:lang w:val="es-AR"/>
        </w:rPr>
        <w:t xml:space="preserve"> 27: </w:t>
      </w:r>
      <w:proofErr w:type="spellStart"/>
      <w:r w:rsidRPr="00E76EFE">
        <w:rPr>
          <w:rFonts w:ascii="Aptos" w:hAnsi="Aptos" w:cstheme="majorHAnsi"/>
          <w:b/>
          <w:bCs/>
          <w:i/>
          <w:iCs/>
          <w:color w:val="C00000"/>
          <w:lang w:val="es-AR"/>
        </w:rPr>
        <w:t>Driving</w:t>
      </w:r>
      <w:proofErr w:type="spellEnd"/>
      <w:r w:rsidRPr="00E76EFE">
        <w:rPr>
          <w:rFonts w:ascii="Aptos" w:hAnsi="Aptos" w:cstheme="majorHAnsi"/>
          <w:b/>
          <w:bCs/>
          <w:i/>
          <w:iCs/>
          <w:color w:val="C00000"/>
          <w:lang w:val="es-AR"/>
        </w:rPr>
        <w:t xml:space="preserve"> </w:t>
      </w:r>
      <w:proofErr w:type="spellStart"/>
      <w:r w:rsidRPr="00E76EFE">
        <w:rPr>
          <w:rFonts w:ascii="Aptos" w:hAnsi="Aptos" w:cstheme="majorHAnsi"/>
          <w:b/>
          <w:bCs/>
          <w:i/>
          <w:iCs/>
          <w:color w:val="C00000"/>
          <w:lang w:val="es-AR"/>
        </w:rPr>
        <w:t>Excellence</w:t>
      </w:r>
      <w:proofErr w:type="spellEnd"/>
      <w:r w:rsidRPr="00E76EFE">
        <w:rPr>
          <w:rFonts w:ascii="Aptos" w:hAnsi="Aptos" w:cstheme="majorHAnsi"/>
          <w:color w:val="C00000"/>
          <w:lang w:val="es-AR"/>
        </w:rPr>
        <w:t xml:space="preserve"> </w:t>
      </w:r>
      <w:r w:rsidRPr="00207D95">
        <w:rPr>
          <w:rFonts w:ascii="Aptos" w:hAnsi="Aptos" w:cstheme="majorHAnsi"/>
          <w:lang w:val="es-AR"/>
        </w:rPr>
        <w:t>– nuevos y ambiciosos objetivos de crecimiento para 2025-2027:</w:t>
      </w:r>
    </w:p>
    <w:p w14:paraId="27ADC752" w14:textId="1CA76142" w:rsidR="007D0FBA" w:rsidRPr="00207D95" w:rsidRDefault="007D0FBA" w:rsidP="00E76EFE">
      <w:pPr>
        <w:pStyle w:val="Prrafodelista"/>
        <w:numPr>
          <w:ilvl w:val="0"/>
          <w:numId w:val="28"/>
        </w:numPr>
        <w:jc w:val="left"/>
        <w:rPr>
          <w:rFonts w:ascii="Aptos" w:hAnsi="Aptos" w:cstheme="majorHAnsi"/>
          <w:lang w:val="es-AR"/>
        </w:rPr>
      </w:pPr>
      <w:r w:rsidRPr="00207D95">
        <w:rPr>
          <w:rFonts w:ascii="Aptos" w:hAnsi="Aptos" w:cstheme="majorHAnsi"/>
          <w:lang w:val="es-AR"/>
        </w:rPr>
        <w:t>fuerte crecimiento de ganancias: 8-10% CAGR de EPS</w:t>
      </w:r>
      <w:r w:rsidR="006E0C2C" w:rsidRPr="00207D95">
        <w:rPr>
          <w:rStyle w:val="Refdenotaalpie"/>
          <w:rFonts w:ascii="Aptos" w:hAnsi="Aptos" w:cstheme="majorHAnsi"/>
          <w:lang w:val="es-AR"/>
        </w:rPr>
        <w:footnoteReference w:id="9"/>
      </w:r>
    </w:p>
    <w:p w14:paraId="50C45141" w14:textId="4BE9F313" w:rsidR="007D0FBA" w:rsidRPr="00207D95" w:rsidRDefault="007D0FBA" w:rsidP="00E76EFE">
      <w:pPr>
        <w:pStyle w:val="Prrafodelista"/>
        <w:numPr>
          <w:ilvl w:val="0"/>
          <w:numId w:val="28"/>
        </w:numPr>
        <w:jc w:val="left"/>
        <w:rPr>
          <w:rFonts w:ascii="Aptos" w:hAnsi="Aptos" w:cstheme="majorHAnsi"/>
          <w:lang w:val="es-AR"/>
        </w:rPr>
      </w:pPr>
      <w:r w:rsidRPr="00207D95">
        <w:rPr>
          <w:rFonts w:ascii="Aptos" w:hAnsi="Aptos" w:cstheme="majorHAnsi"/>
          <w:lang w:val="es-AR"/>
        </w:rPr>
        <w:lastRenderedPageBreak/>
        <w:t>generación sólida de efectivo: &gt; €11 mil millones de Flujo de Caja Neto</w:t>
      </w:r>
      <w:r w:rsidR="00D52A70" w:rsidRPr="00207D95">
        <w:rPr>
          <w:rStyle w:val="Refdenotaalpie"/>
          <w:rFonts w:ascii="Aptos" w:hAnsi="Aptos" w:cstheme="majorHAnsi"/>
          <w:lang w:val="es-AR"/>
        </w:rPr>
        <w:footnoteReference w:id="10"/>
      </w:r>
      <w:r w:rsidRPr="00207D95">
        <w:rPr>
          <w:rFonts w:ascii="Aptos" w:hAnsi="Aptos" w:cstheme="majorHAnsi"/>
          <w:lang w:val="es-AR"/>
        </w:rPr>
        <w:t xml:space="preserve"> Acumulado del Holding</w:t>
      </w:r>
    </w:p>
    <w:p w14:paraId="166E1ADC" w14:textId="359E6A76" w:rsidR="007D0FBA" w:rsidRPr="00207D95" w:rsidRDefault="007D0FBA" w:rsidP="00E76EFE">
      <w:pPr>
        <w:pStyle w:val="Prrafodelista"/>
        <w:numPr>
          <w:ilvl w:val="0"/>
          <w:numId w:val="28"/>
        </w:numPr>
        <w:jc w:val="left"/>
        <w:rPr>
          <w:rFonts w:ascii="Aptos" w:hAnsi="Aptos" w:cstheme="majorHAnsi"/>
          <w:lang w:val="es-AR"/>
        </w:rPr>
      </w:pPr>
      <w:r w:rsidRPr="00207D95">
        <w:rPr>
          <w:rFonts w:ascii="Aptos" w:hAnsi="Aptos" w:cstheme="majorHAnsi"/>
          <w:lang w:val="es-AR"/>
        </w:rPr>
        <w:t>aumento del dividendo</w:t>
      </w:r>
      <w:r w:rsidR="00436DE0" w:rsidRPr="00207D95">
        <w:rPr>
          <w:rStyle w:val="Refdenotaalpie"/>
          <w:rFonts w:ascii="Aptos" w:hAnsi="Aptos" w:cstheme="majorHAnsi"/>
          <w:lang w:val="es-AR"/>
        </w:rPr>
        <w:footnoteReference w:id="11"/>
      </w:r>
      <w:r w:rsidRPr="00207D95">
        <w:rPr>
          <w:rFonts w:ascii="Aptos" w:hAnsi="Aptos" w:cstheme="majorHAnsi"/>
          <w:lang w:val="es-AR"/>
        </w:rPr>
        <w:t xml:space="preserve"> por acción: &gt; 10% CAGR de DPS con política de trinquete</w:t>
      </w:r>
    </w:p>
    <w:p w14:paraId="229B9055" w14:textId="77777777" w:rsidR="00382156" w:rsidRPr="00207D95" w:rsidRDefault="00382156" w:rsidP="007D0FBA">
      <w:pPr>
        <w:jc w:val="left"/>
        <w:rPr>
          <w:rFonts w:ascii="Aptos" w:hAnsi="Aptos" w:cstheme="majorHAnsi"/>
          <w:lang w:val="es-AR"/>
        </w:rPr>
      </w:pPr>
    </w:p>
    <w:p w14:paraId="33DE404A" w14:textId="77777777" w:rsidR="00382156" w:rsidRPr="00207D95" w:rsidRDefault="007D0FBA" w:rsidP="007D0FBA">
      <w:pPr>
        <w:jc w:val="left"/>
        <w:rPr>
          <w:rFonts w:ascii="Aptos" w:hAnsi="Aptos" w:cstheme="majorHAnsi"/>
          <w:lang w:val="es-AR"/>
        </w:rPr>
      </w:pPr>
      <w:r w:rsidRPr="00207D95">
        <w:rPr>
          <w:rFonts w:ascii="Aptos" w:hAnsi="Aptos" w:cstheme="majorHAnsi"/>
          <w:lang w:val="es-AR"/>
        </w:rPr>
        <w:t>Con un marco claro de gestión de capital con mayor enfoque en los retornos a los accionistas:</w:t>
      </w:r>
    </w:p>
    <w:p w14:paraId="19092126" w14:textId="07319F8D" w:rsidR="007D0FBA" w:rsidRPr="00207D95" w:rsidRDefault="007D0FBA" w:rsidP="00E76EFE">
      <w:pPr>
        <w:pStyle w:val="Prrafodelista"/>
        <w:numPr>
          <w:ilvl w:val="0"/>
          <w:numId w:val="29"/>
        </w:numPr>
        <w:jc w:val="left"/>
        <w:rPr>
          <w:rFonts w:ascii="Aptos" w:hAnsi="Aptos" w:cstheme="majorHAnsi"/>
          <w:lang w:val="es-AR"/>
        </w:rPr>
      </w:pPr>
      <w:r w:rsidRPr="00207D95">
        <w:rPr>
          <w:rFonts w:ascii="Aptos" w:hAnsi="Aptos" w:cstheme="majorHAnsi"/>
          <w:lang w:val="es-AR"/>
        </w:rPr>
        <w:t>más de € 7 mil millones en dividendos</w:t>
      </w:r>
      <w:r w:rsidR="00436DE0" w:rsidRPr="00207D95">
        <w:rPr>
          <w:rStyle w:val="Refdenotaalpie"/>
          <w:rFonts w:ascii="Aptos" w:hAnsi="Aptos" w:cstheme="majorHAnsi"/>
          <w:lang w:val="es-AR"/>
        </w:rPr>
        <w:footnoteReference w:id="12"/>
      </w:r>
      <w:r w:rsidRPr="00207D95">
        <w:rPr>
          <w:rFonts w:ascii="Aptos" w:hAnsi="Aptos" w:cstheme="majorHAnsi"/>
          <w:lang w:val="es-AR"/>
        </w:rPr>
        <w:t xml:space="preserve"> acumulados (2025-27)</w:t>
      </w:r>
    </w:p>
    <w:p w14:paraId="0E495D43" w14:textId="3532080C" w:rsidR="007D0FBA" w:rsidRPr="00207D95" w:rsidRDefault="007D0FBA" w:rsidP="00E76EFE">
      <w:pPr>
        <w:pStyle w:val="Prrafodelista"/>
        <w:numPr>
          <w:ilvl w:val="0"/>
          <w:numId w:val="29"/>
        </w:numPr>
        <w:jc w:val="left"/>
        <w:rPr>
          <w:rFonts w:ascii="Aptos" w:hAnsi="Aptos" w:cstheme="majorHAnsi"/>
          <w:lang w:val="es-AR"/>
        </w:rPr>
      </w:pPr>
      <w:r w:rsidRPr="00207D95">
        <w:rPr>
          <w:rFonts w:ascii="Aptos" w:hAnsi="Aptos" w:cstheme="majorHAnsi"/>
          <w:lang w:val="es-AR"/>
        </w:rPr>
        <w:t>comprometido con al menos €1,5 mil millones en recompra</w:t>
      </w:r>
      <w:r w:rsidR="00436DE0" w:rsidRPr="00207D95">
        <w:rPr>
          <w:rStyle w:val="Refdenotaalpie"/>
          <w:rFonts w:ascii="Aptos" w:hAnsi="Aptos" w:cstheme="majorHAnsi"/>
          <w:lang w:val="es-AR"/>
        </w:rPr>
        <w:footnoteReference w:id="13"/>
      </w:r>
      <w:r w:rsidRPr="00207D95">
        <w:rPr>
          <w:rFonts w:ascii="Aptos" w:hAnsi="Aptos" w:cstheme="majorHAnsi"/>
          <w:lang w:val="es-AR"/>
        </w:rPr>
        <w:t xml:space="preserve"> de acciones durante el horizonte del plan</w:t>
      </w:r>
    </w:p>
    <w:p w14:paraId="2F8B9E7F" w14:textId="19963F60" w:rsidR="007D0FBA" w:rsidRPr="00207D95" w:rsidRDefault="007D0FBA" w:rsidP="00E76EFE">
      <w:pPr>
        <w:pStyle w:val="Prrafodelista"/>
        <w:numPr>
          <w:ilvl w:val="0"/>
          <w:numId w:val="29"/>
        </w:numPr>
        <w:jc w:val="left"/>
        <w:rPr>
          <w:rFonts w:ascii="Aptos" w:hAnsi="Aptos" w:cstheme="majorHAnsi"/>
          <w:lang w:val="es-AR"/>
        </w:rPr>
      </w:pPr>
      <w:r w:rsidRPr="00207D95">
        <w:rPr>
          <w:rFonts w:ascii="Aptos" w:hAnsi="Aptos" w:cstheme="majorHAnsi"/>
          <w:lang w:val="es-AR"/>
        </w:rPr>
        <w:t>recompra de € 500 millones a lanzarse en 2025</w:t>
      </w:r>
      <w:r w:rsidR="00436DE0" w:rsidRPr="00207D95">
        <w:rPr>
          <w:rStyle w:val="Refdenotaalpie"/>
          <w:rFonts w:ascii="Aptos" w:hAnsi="Aptos" w:cstheme="majorHAnsi"/>
          <w:lang w:val="es-AR"/>
        </w:rPr>
        <w:footnoteReference w:id="14"/>
      </w:r>
    </w:p>
    <w:p w14:paraId="1A4C28BC" w14:textId="77777777" w:rsidR="007D0FBA" w:rsidRPr="00207D95" w:rsidRDefault="007D0FBA" w:rsidP="007D0FBA">
      <w:pPr>
        <w:jc w:val="left"/>
        <w:rPr>
          <w:rFonts w:ascii="Aptos" w:hAnsi="Aptos" w:cstheme="majorHAnsi"/>
          <w:lang w:val="es-AR"/>
        </w:rPr>
      </w:pPr>
    </w:p>
    <w:p w14:paraId="76C3696B" w14:textId="77777777" w:rsidR="007D0FBA" w:rsidRPr="00C30672" w:rsidRDefault="007D0FBA" w:rsidP="00E76EFE">
      <w:pPr>
        <w:pStyle w:val="Ttulo1"/>
        <w:spacing w:before="0"/>
        <w:jc w:val="both"/>
        <w:rPr>
          <w:rFonts w:ascii="Aptos" w:hAnsi="Aptos"/>
          <w:lang w:val="es-AR"/>
        </w:rPr>
      </w:pPr>
      <w:r w:rsidRPr="00C30672">
        <w:rPr>
          <w:rFonts w:ascii="Aptos" w:hAnsi="Aptos"/>
          <w:lang w:val="es-AR"/>
        </w:rPr>
        <w:t>COMPROMISO DE SOSTENIBILIDAD DE GENERALI</w:t>
      </w:r>
    </w:p>
    <w:p w14:paraId="5397E48C" w14:textId="77777777" w:rsidR="00CA19A5" w:rsidRPr="00207D95" w:rsidRDefault="007D0FBA" w:rsidP="007D0FBA">
      <w:pPr>
        <w:jc w:val="left"/>
        <w:rPr>
          <w:rFonts w:ascii="Aptos" w:hAnsi="Aptos" w:cstheme="majorHAnsi"/>
          <w:lang w:val="es-AR"/>
        </w:rPr>
      </w:pPr>
      <w:r w:rsidRPr="00207D95">
        <w:rPr>
          <w:rFonts w:ascii="Aptos" w:hAnsi="Aptos" w:cstheme="majorHAnsi"/>
          <w:lang w:val="es-AR"/>
        </w:rPr>
        <w:t xml:space="preserve">La sostenibilidad estuvo completamente integrada en la estrategia </w:t>
      </w:r>
      <w:proofErr w:type="spellStart"/>
      <w:r w:rsidRPr="00F13C94">
        <w:rPr>
          <w:rFonts w:ascii="Aptos" w:hAnsi="Aptos" w:cstheme="majorHAnsi"/>
          <w:i/>
          <w:iCs/>
          <w:lang w:val="es-AR"/>
        </w:rPr>
        <w:t>Lifetime</w:t>
      </w:r>
      <w:proofErr w:type="spellEnd"/>
      <w:r w:rsidRPr="00F13C94">
        <w:rPr>
          <w:rFonts w:ascii="Aptos" w:hAnsi="Aptos" w:cstheme="majorHAnsi"/>
          <w:i/>
          <w:iCs/>
          <w:lang w:val="es-AR"/>
        </w:rPr>
        <w:t xml:space="preserve"> </w:t>
      </w:r>
      <w:proofErr w:type="spellStart"/>
      <w:r w:rsidRPr="00F13C94">
        <w:rPr>
          <w:rFonts w:ascii="Aptos" w:hAnsi="Aptos" w:cstheme="majorHAnsi"/>
          <w:i/>
          <w:iCs/>
          <w:lang w:val="es-AR"/>
        </w:rPr>
        <w:t>Partner</w:t>
      </w:r>
      <w:proofErr w:type="spellEnd"/>
      <w:r w:rsidRPr="00F13C94">
        <w:rPr>
          <w:rFonts w:ascii="Aptos" w:hAnsi="Aptos" w:cstheme="majorHAnsi"/>
          <w:i/>
          <w:iCs/>
          <w:lang w:val="es-AR"/>
        </w:rPr>
        <w:t xml:space="preserve"> 24: </w:t>
      </w:r>
      <w:proofErr w:type="spellStart"/>
      <w:r w:rsidRPr="00F13C94">
        <w:rPr>
          <w:rFonts w:ascii="Aptos" w:hAnsi="Aptos" w:cstheme="majorHAnsi"/>
          <w:i/>
          <w:iCs/>
          <w:lang w:val="es-AR"/>
        </w:rPr>
        <w:t>Driving</w:t>
      </w:r>
      <w:proofErr w:type="spellEnd"/>
      <w:r w:rsidRPr="00F13C94">
        <w:rPr>
          <w:rFonts w:ascii="Aptos" w:hAnsi="Aptos" w:cstheme="majorHAnsi"/>
          <w:i/>
          <w:iCs/>
          <w:lang w:val="es-AR"/>
        </w:rPr>
        <w:t xml:space="preserve"> </w:t>
      </w:r>
      <w:proofErr w:type="spellStart"/>
      <w:r w:rsidRPr="00F13C94">
        <w:rPr>
          <w:rFonts w:ascii="Aptos" w:hAnsi="Aptos" w:cstheme="majorHAnsi"/>
          <w:i/>
          <w:iCs/>
          <w:lang w:val="es-AR"/>
        </w:rPr>
        <w:t>Growth</w:t>
      </w:r>
      <w:proofErr w:type="spellEnd"/>
      <w:r w:rsidRPr="00207D95">
        <w:rPr>
          <w:rFonts w:ascii="Aptos" w:hAnsi="Aptos" w:cstheme="majorHAnsi"/>
          <w:lang w:val="es-AR"/>
        </w:rPr>
        <w:t xml:space="preserve"> de Generali y contribuyó positivamente a su entrega. Los principales logros para 2024 incluyen:</w:t>
      </w:r>
    </w:p>
    <w:p w14:paraId="216C4FF4" w14:textId="77777777" w:rsidR="00CA19A5" w:rsidRPr="0096213C" w:rsidRDefault="007D0FBA" w:rsidP="0096213C">
      <w:pPr>
        <w:pStyle w:val="Prrafodelista"/>
        <w:numPr>
          <w:ilvl w:val="0"/>
          <w:numId w:val="31"/>
        </w:numPr>
        <w:jc w:val="left"/>
        <w:rPr>
          <w:rFonts w:ascii="Aptos" w:hAnsi="Aptos" w:cstheme="majorHAnsi"/>
          <w:lang w:val="es-AR"/>
        </w:rPr>
      </w:pPr>
      <w:r w:rsidRPr="0096213C">
        <w:rPr>
          <w:rFonts w:ascii="Aptos" w:hAnsi="Aptos" w:cstheme="majorHAnsi"/>
          <w:lang w:val="es-AR"/>
        </w:rPr>
        <w:t>como inversor responsable, € 13,9 mil millones (+€4,8 mil millones vs FY2023) en nuevas inversiones verdes y sostenibles (2021-2024);</w:t>
      </w:r>
    </w:p>
    <w:p w14:paraId="1D2A620E" w14:textId="60E7E91E" w:rsidR="00CA19A5" w:rsidRPr="0096213C" w:rsidRDefault="007D0FBA" w:rsidP="0096213C">
      <w:pPr>
        <w:pStyle w:val="Prrafodelista"/>
        <w:numPr>
          <w:ilvl w:val="0"/>
          <w:numId w:val="31"/>
        </w:numPr>
        <w:jc w:val="left"/>
        <w:rPr>
          <w:rFonts w:ascii="Aptos" w:hAnsi="Aptos" w:cstheme="majorHAnsi"/>
          <w:lang w:val="es-AR"/>
        </w:rPr>
      </w:pPr>
      <w:r w:rsidRPr="0096213C">
        <w:rPr>
          <w:rFonts w:ascii="Aptos" w:hAnsi="Aptos" w:cstheme="majorHAnsi"/>
          <w:lang w:val="es-AR"/>
        </w:rPr>
        <w:t>como asegurador responsable, € 25,2 mil millones (+€4,4 mil millones vs FY2023</w:t>
      </w:r>
      <w:r w:rsidR="00B303D0" w:rsidRPr="00207D95">
        <w:rPr>
          <w:rStyle w:val="Refdenotaalpie"/>
          <w:rFonts w:ascii="Aptos" w:hAnsi="Aptos" w:cstheme="majorHAnsi"/>
          <w:lang w:val="es-AR"/>
        </w:rPr>
        <w:footnoteReference w:id="15"/>
      </w:r>
      <w:r w:rsidRPr="0096213C">
        <w:rPr>
          <w:rFonts w:ascii="Aptos" w:hAnsi="Aptos" w:cstheme="majorHAnsi"/>
          <w:lang w:val="es-AR"/>
        </w:rPr>
        <w:t>) en primas de soluciones de seguros con componentes ESG;</w:t>
      </w:r>
    </w:p>
    <w:p w14:paraId="4EEC3A1A" w14:textId="4505E5B8" w:rsidR="00CA19A5" w:rsidRPr="0096213C" w:rsidRDefault="007D0FBA" w:rsidP="0096213C">
      <w:pPr>
        <w:pStyle w:val="Prrafodelista"/>
        <w:numPr>
          <w:ilvl w:val="0"/>
          <w:numId w:val="31"/>
        </w:numPr>
        <w:jc w:val="left"/>
        <w:rPr>
          <w:rFonts w:ascii="Aptos" w:hAnsi="Aptos" w:cstheme="majorHAnsi"/>
          <w:lang w:val="es-AR"/>
        </w:rPr>
      </w:pPr>
      <w:r w:rsidRPr="0096213C">
        <w:rPr>
          <w:rFonts w:ascii="Aptos" w:hAnsi="Aptos" w:cstheme="majorHAnsi"/>
          <w:lang w:val="es-AR"/>
        </w:rPr>
        <w:t>como empleador responsable, 84% de los empleados mejoraron sus habilidades (+16 p.p. vs. FY2023), 38,6% de las posiciones estratégicas ocupadas por mujeres (+3,8 p.p. vs. FY2023) y una reducción de emisiones de -46,1% (-8,5 p.p. vs. FY2023</w:t>
      </w:r>
      <w:r w:rsidR="00C57E87" w:rsidRPr="00207D95">
        <w:rPr>
          <w:rStyle w:val="Refdenotaalpie"/>
          <w:rFonts w:ascii="Aptos" w:hAnsi="Aptos" w:cstheme="majorHAnsi"/>
          <w:lang w:val="es-AR"/>
        </w:rPr>
        <w:footnoteReference w:id="16"/>
      </w:r>
      <w:r w:rsidRPr="0096213C">
        <w:rPr>
          <w:rFonts w:ascii="Aptos" w:hAnsi="Aptos" w:cstheme="majorHAnsi"/>
          <w:lang w:val="es-AR"/>
        </w:rPr>
        <w:t>) de nuestras propias operaciones en comparación con el año base 2019</w:t>
      </w:r>
      <w:r w:rsidR="00CA19A5" w:rsidRPr="0096213C">
        <w:rPr>
          <w:rFonts w:ascii="Aptos" w:hAnsi="Aptos" w:cstheme="majorHAnsi"/>
          <w:lang w:val="es-AR"/>
        </w:rPr>
        <w:t>;</w:t>
      </w:r>
    </w:p>
    <w:p w14:paraId="05B04690" w14:textId="77777777" w:rsidR="00CA19A5" w:rsidRPr="0096213C" w:rsidRDefault="007D0FBA" w:rsidP="0096213C">
      <w:pPr>
        <w:pStyle w:val="Prrafodelista"/>
        <w:numPr>
          <w:ilvl w:val="0"/>
          <w:numId w:val="31"/>
        </w:numPr>
        <w:jc w:val="left"/>
        <w:rPr>
          <w:rFonts w:ascii="Aptos" w:hAnsi="Aptos" w:cstheme="majorHAnsi"/>
          <w:lang w:val="es-AR"/>
        </w:rPr>
      </w:pPr>
      <w:r w:rsidRPr="0096213C">
        <w:rPr>
          <w:rFonts w:ascii="Aptos" w:hAnsi="Aptos" w:cstheme="majorHAnsi"/>
          <w:lang w:val="es-AR"/>
        </w:rPr>
        <w:t xml:space="preserve">como ciudadano corporativo responsable, a través de las iniciativas globales de </w:t>
      </w:r>
      <w:proofErr w:type="spellStart"/>
      <w:r w:rsidRPr="0096213C">
        <w:rPr>
          <w:rFonts w:ascii="Aptos" w:hAnsi="Aptos" w:cstheme="majorHAnsi"/>
          <w:lang w:val="es-AR"/>
        </w:rPr>
        <w:t>The</w:t>
      </w:r>
      <w:proofErr w:type="spellEnd"/>
      <w:r w:rsidRPr="0096213C">
        <w:rPr>
          <w:rFonts w:ascii="Aptos" w:hAnsi="Aptos" w:cstheme="majorHAnsi"/>
          <w:lang w:val="es-AR"/>
        </w:rPr>
        <w:t xml:space="preserve"> Human Safety Net, extendió iniciativas a 26 países con 85 socios ONG;</w:t>
      </w:r>
    </w:p>
    <w:p w14:paraId="41B025C2" w14:textId="23300EB0" w:rsidR="007D0FBA" w:rsidRPr="0096213C" w:rsidRDefault="007D0FBA" w:rsidP="0096213C">
      <w:pPr>
        <w:pStyle w:val="Prrafodelista"/>
        <w:numPr>
          <w:ilvl w:val="0"/>
          <w:numId w:val="31"/>
        </w:numPr>
        <w:jc w:val="left"/>
        <w:rPr>
          <w:rFonts w:ascii="Aptos" w:hAnsi="Aptos" w:cstheme="majorHAnsi"/>
          <w:lang w:val="es-AR"/>
        </w:rPr>
      </w:pPr>
      <w:r w:rsidRPr="0096213C">
        <w:rPr>
          <w:rFonts w:ascii="Aptos" w:hAnsi="Aptos" w:cstheme="majorHAnsi"/>
          <w:lang w:val="es-AR"/>
        </w:rPr>
        <w:t>la exitosa colocación del sexto y séptimo bono verde, por € 500 millones y € 750 millones respectivamente.</w:t>
      </w:r>
    </w:p>
    <w:p w14:paraId="1DA54EEF" w14:textId="77777777" w:rsidR="007D0FBA" w:rsidRPr="00207D95" w:rsidRDefault="007D0FBA" w:rsidP="007D0FBA">
      <w:pPr>
        <w:jc w:val="left"/>
        <w:rPr>
          <w:rFonts w:ascii="Aptos" w:hAnsi="Aptos" w:cstheme="majorHAnsi"/>
          <w:lang w:val="es-AR"/>
        </w:rPr>
      </w:pPr>
    </w:p>
    <w:p w14:paraId="53C13AB9" w14:textId="5D396C51" w:rsidR="008C39BB" w:rsidRDefault="007D0FBA">
      <w:pPr>
        <w:jc w:val="left"/>
        <w:rPr>
          <w:rFonts w:ascii="Aptos" w:hAnsi="Aptos" w:cstheme="majorHAnsi"/>
          <w:lang w:val="es-AR"/>
        </w:rPr>
      </w:pPr>
      <w:r w:rsidRPr="00207D95">
        <w:rPr>
          <w:rFonts w:ascii="Aptos" w:hAnsi="Aptos" w:cstheme="majorHAnsi"/>
          <w:lang w:val="es-AR"/>
        </w:rPr>
        <w:t xml:space="preserve">La sostenibilidad está profundamente arraigada en la estrategia </w:t>
      </w:r>
      <w:proofErr w:type="spellStart"/>
      <w:r w:rsidRPr="008C39BB">
        <w:rPr>
          <w:rFonts w:ascii="Aptos" w:hAnsi="Aptos" w:cstheme="majorHAnsi"/>
          <w:i/>
          <w:iCs/>
          <w:lang w:val="es-AR"/>
        </w:rPr>
        <w:t>Lifetime</w:t>
      </w:r>
      <w:proofErr w:type="spellEnd"/>
      <w:r w:rsidRPr="008C39BB">
        <w:rPr>
          <w:rFonts w:ascii="Aptos" w:hAnsi="Aptos" w:cstheme="majorHAnsi"/>
          <w:i/>
          <w:iCs/>
          <w:lang w:val="es-AR"/>
        </w:rPr>
        <w:t xml:space="preserve"> </w:t>
      </w:r>
      <w:proofErr w:type="spellStart"/>
      <w:r w:rsidRPr="008C39BB">
        <w:rPr>
          <w:rFonts w:ascii="Aptos" w:hAnsi="Aptos" w:cstheme="majorHAnsi"/>
          <w:i/>
          <w:iCs/>
          <w:lang w:val="es-AR"/>
        </w:rPr>
        <w:t>Partner</w:t>
      </w:r>
      <w:proofErr w:type="spellEnd"/>
      <w:r w:rsidRPr="008C39BB">
        <w:rPr>
          <w:rFonts w:ascii="Aptos" w:hAnsi="Aptos" w:cstheme="majorHAnsi"/>
          <w:i/>
          <w:iCs/>
          <w:lang w:val="es-AR"/>
        </w:rPr>
        <w:t xml:space="preserve"> 27: </w:t>
      </w:r>
      <w:proofErr w:type="spellStart"/>
      <w:r w:rsidRPr="008C39BB">
        <w:rPr>
          <w:rFonts w:ascii="Aptos" w:hAnsi="Aptos" w:cstheme="majorHAnsi"/>
          <w:i/>
          <w:iCs/>
          <w:lang w:val="es-AR"/>
        </w:rPr>
        <w:t>Driving</w:t>
      </w:r>
      <w:proofErr w:type="spellEnd"/>
      <w:r w:rsidRPr="008C39BB">
        <w:rPr>
          <w:rFonts w:ascii="Aptos" w:hAnsi="Aptos" w:cstheme="majorHAnsi"/>
          <w:i/>
          <w:iCs/>
          <w:lang w:val="es-AR"/>
        </w:rPr>
        <w:t xml:space="preserve"> </w:t>
      </w:r>
      <w:proofErr w:type="spellStart"/>
      <w:r w:rsidRPr="008C39BB">
        <w:rPr>
          <w:rFonts w:ascii="Aptos" w:hAnsi="Aptos" w:cstheme="majorHAnsi"/>
          <w:i/>
          <w:iCs/>
          <w:lang w:val="es-AR"/>
        </w:rPr>
        <w:t>Excellence</w:t>
      </w:r>
      <w:proofErr w:type="spellEnd"/>
      <w:r w:rsidRPr="00207D95">
        <w:rPr>
          <w:rFonts w:ascii="Aptos" w:hAnsi="Aptos" w:cstheme="majorHAnsi"/>
          <w:lang w:val="es-AR"/>
        </w:rPr>
        <w:t xml:space="preserve"> con compromisos claros para apoyar una transición verde y justa y fomentar la resiliencia social.</w:t>
      </w:r>
    </w:p>
    <w:p w14:paraId="7EFD458D" w14:textId="77777777" w:rsidR="008C39BB" w:rsidRDefault="008C39BB">
      <w:pPr>
        <w:jc w:val="left"/>
        <w:rPr>
          <w:rFonts w:ascii="Aptos" w:hAnsi="Aptos" w:cstheme="majorHAnsi"/>
          <w:lang w:val="es-AR"/>
        </w:rPr>
      </w:pPr>
      <w:r>
        <w:rPr>
          <w:rFonts w:ascii="Aptos" w:hAnsi="Aptos" w:cstheme="majorHAnsi"/>
          <w:lang w:val="es-AR"/>
        </w:rPr>
        <w:br w:type="page"/>
      </w:r>
    </w:p>
    <w:p w14:paraId="76E57EAB" w14:textId="77777777" w:rsidR="00A0140E" w:rsidRDefault="00A0140E">
      <w:pPr>
        <w:jc w:val="left"/>
        <w:rPr>
          <w:rFonts w:ascii="Aptos" w:hAnsi="Aptos" w:cstheme="majorHAnsi"/>
          <w:lang w:val="es-AR"/>
        </w:rPr>
      </w:pPr>
    </w:p>
    <w:p w14:paraId="738237F5" w14:textId="77777777" w:rsidR="00A0140E" w:rsidRDefault="00A0140E" w:rsidP="00A0140E">
      <w:pPr>
        <w:jc w:val="left"/>
        <w:rPr>
          <w:rFonts w:ascii="Aptos" w:hAnsi="Aptos" w:cstheme="majorHAnsi"/>
          <w:lang w:val="es-AR"/>
        </w:rPr>
      </w:pPr>
      <w:r w:rsidRPr="00A0140E">
        <w:rPr>
          <w:rFonts w:ascii="Aptos" w:eastAsiaTheme="majorEastAsia" w:hAnsi="Aptos" w:cs="Times New Roman (Titoli CS)"/>
          <w:b/>
          <w:caps/>
          <w:color w:val="C21B17" w:themeColor="accent1"/>
          <w:sz w:val="30"/>
          <w:szCs w:val="32"/>
          <w:lang w:val="es-AR"/>
        </w:rPr>
        <w:t>OTRAS RESOLUCIONES DEL CONSEJO</w:t>
      </w:r>
      <w:r w:rsidRPr="00A0140E">
        <w:rPr>
          <w:rFonts w:ascii="Aptos" w:eastAsiaTheme="majorEastAsia" w:hAnsi="Aptos" w:cs="Times New Roman (Titoli CS)"/>
          <w:b/>
          <w:caps/>
          <w:color w:val="C21B17" w:themeColor="accent1"/>
          <w:sz w:val="30"/>
          <w:szCs w:val="32"/>
          <w:lang w:val="es-AR"/>
        </w:rPr>
        <w:br/>
      </w:r>
      <w:r w:rsidRPr="00A0140E">
        <w:rPr>
          <w:rFonts w:ascii="Aptos" w:hAnsi="Aptos" w:cstheme="majorHAnsi"/>
          <w:lang w:val="es-AR"/>
        </w:rPr>
        <w:t>El Consejo de Administración también aprobó:</w:t>
      </w:r>
    </w:p>
    <w:p w14:paraId="5466EF63" w14:textId="2EA330BC" w:rsidR="00A0140E" w:rsidRDefault="00A0140E" w:rsidP="00A0140E">
      <w:pPr>
        <w:pStyle w:val="Prrafodelista"/>
        <w:numPr>
          <w:ilvl w:val="0"/>
          <w:numId w:val="34"/>
        </w:numPr>
        <w:jc w:val="left"/>
        <w:rPr>
          <w:rFonts w:ascii="Aptos" w:hAnsi="Aptos" w:cstheme="majorHAnsi"/>
          <w:lang w:val="es-AR"/>
        </w:rPr>
      </w:pPr>
      <w:r w:rsidRPr="00A0140E">
        <w:rPr>
          <w:rFonts w:ascii="Aptos" w:hAnsi="Aptos" w:cstheme="majorHAnsi"/>
          <w:lang w:val="es-AR"/>
        </w:rPr>
        <w:t>una asignación de 391</w:t>
      </w:r>
      <w:r w:rsidR="00CA6A66">
        <w:rPr>
          <w:rFonts w:ascii="Aptos" w:hAnsi="Aptos" w:cstheme="majorHAnsi"/>
          <w:lang w:val="es-AR"/>
        </w:rPr>
        <w:t>.</w:t>
      </w:r>
      <w:r w:rsidRPr="00A0140E">
        <w:rPr>
          <w:rFonts w:ascii="Aptos" w:hAnsi="Aptos" w:cstheme="majorHAnsi"/>
          <w:lang w:val="es-AR"/>
        </w:rPr>
        <w:t>229 acciones propias para implementar el ‘Plan de Incentivo a Largo Plazo del Grupo (LTIP) 2020-2022’, habiendo verificado la ocurrencia de las condiciones en las que se basaba.</w:t>
      </w:r>
    </w:p>
    <w:p w14:paraId="088BA808" w14:textId="291BD7DF" w:rsidR="00A0140E" w:rsidRDefault="00A0140E" w:rsidP="00A0140E">
      <w:pPr>
        <w:pStyle w:val="Prrafodelista"/>
        <w:numPr>
          <w:ilvl w:val="0"/>
          <w:numId w:val="34"/>
        </w:numPr>
        <w:jc w:val="left"/>
        <w:rPr>
          <w:rFonts w:ascii="Aptos" w:hAnsi="Aptos" w:cstheme="majorHAnsi"/>
          <w:lang w:val="es-AR"/>
        </w:rPr>
      </w:pPr>
      <w:r w:rsidRPr="00A0140E">
        <w:rPr>
          <w:rFonts w:ascii="Aptos" w:hAnsi="Aptos" w:cstheme="majorHAnsi"/>
          <w:lang w:val="es-AR"/>
        </w:rPr>
        <w:t>una asignación de 7</w:t>
      </w:r>
      <w:r w:rsidR="00CA6A66">
        <w:rPr>
          <w:rFonts w:ascii="Aptos" w:hAnsi="Aptos" w:cstheme="majorHAnsi"/>
          <w:lang w:val="es-AR"/>
        </w:rPr>
        <w:t>.</w:t>
      </w:r>
      <w:r w:rsidRPr="00A0140E">
        <w:rPr>
          <w:rFonts w:ascii="Aptos" w:hAnsi="Aptos" w:cstheme="majorHAnsi"/>
          <w:lang w:val="es-AR"/>
        </w:rPr>
        <w:t>028</w:t>
      </w:r>
      <w:r w:rsidR="00CA6A66">
        <w:rPr>
          <w:rFonts w:ascii="Aptos" w:hAnsi="Aptos" w:cstheme="majorHAnsi"/>
          <w:lang w:val="es-AR"/>
        </w:rPr>
        <w:t>.</w:t>
      </w:r>
      <w:r w:rsidRPr="00A0140E">
        <w:rPr>
          <w:rFonts w:ascii="Aptos" w:hAnsi="Aptos" w:cstheme="majorHAnsi"/>
          <w:lang w:val="es-AR"/>
        </w:rPr>
        <w:t>164 acciones propias para implementar el ‘Plan de Incentivo a Largo Plazo del Grupo (LTIP) 2022-2024’, habiendo verificado la ocurrencia de las condiciones en las que se basaba.</w:t>
      </w:r>
    </w:p>
    <w:p w14:paraId="48FA1B75" w14:textId="51F66CDE" w:rsidR="00E8053A" w:rsidRPr="008C39BB" w:rsidRDefault="00A0140E" w:rsidP="00E52AEF">
      <w:pPr>
        <w:pStyle w:val="Prrafodelista"/>
        <w:numPr>
          <w:ilvl w:val="0"/>
          <w:numId w:val="34"/>
        </w:numPr>
        <w:jc w:val="left"/>
        <w:rPr>
          <w:rFonts w:ascii="Aptos" w:hAnsi="Aptos" w:cstheme="majorHAnsi"/>
          <w:lang w:val="es-AR"/>
        </w:rPr>
      </w:pPr>
      <w:r w:rsidRPr="008C39BB">
        <w:rPr>
          <w:rFonts w:ascii="Aptos" w:hAnsi="Aptos" w:cstheme="majorHAnsi"/>
          <w:lang w:val="es-AR"/>
        </w:rPr>
        <w:t>la cancelación, sin reducir el capital social, de 19</w:t>
      </w:r>
      <w:r w:rsidR="00CA6A66" w:rsidRPr="008C39BB">
        <w:rPr>
          <w:rFonts w:ascii="Aptos" w:hAnsi="Aptos" w:cstheme="majorHAnsi"/>
          <w:lang w:val="es-AR"/>
        </w:rPr>
        <w:t>.</w:t>
      </w:r>
      <w:r w:rsidRPr="008C39BB">
        <w:rPr>
          <w:rFonts w:ascii="Aptos" w:hAnsi="Aptos" w:cstheme="majorHAnsi"/>
          <w:lang w:val="es-AR"/>
        </w:rPr>
        <w:t>635</w:t>
      </w:r>
      <w:r w:rsidR="00CA6A66" w:rsidRPr="008C39BB">
        <w:rPr>
          <w:rFonts w:ascii="Aptos" w:hAnsi="Aptos" w:cstheme="majorHAnsi"/>
          <w:lang w:val="es-AR"/>
        </w:rPr>
        <w:t>.</w:t>
      </w:r>
      <w:r w:rsidRPr="008C39BB">
        <w:rPr>
          <w:rFonts w:ascii="Aptos" w:hAnsi="Aptos" w:cstheme="majorHAnsi"/>
          <w:lang w:val="es-AR"/>
        </w:rPr>
        <w:t xml:space="preserve">081 acciones propias, adquiridas para ese fin, implementando las resoluciones de la Asamblea General Anual del 24 de abril de 2024. La ejecución de la resolución del Consejo está sujeta a la autorización de las enmiendas relacionadas a los estatutos por parte de IVASS. </w:t>
      </w:r>
    </w:p>
    <w:p w14:paraId="0CEFD1C6" w14:textId="77777777" w:rsidR="00E8053A" w:rsidRPr="00207D95" w:rsidRDefault="00E8053A" w:rsidP="00EB0E0E">
      <w:pPr>
        <w:spacing w:line="276" w:lineRule="auto"/>
        <w:rPr>
          <w:rFonts w:ascii="Aptos" w:hAnsi="Aptos" w:cstheme="majorHAnsi"/>
          <w:lang w:val="es-AR"/>
        </w:rPr>
      </w:pPr>
    </w:p>
    <w:p w14:paraId="0128DCA0" w14:textId="77777777" w:rsidR="00151A8A" w:rsidRPr="00207D95" w:rsidRDefault="00151A8A" w:rsidP="00151A8A">
      <w:pPr>
        <w:pStyle w:val="Intropuntoelenco"/>
        <w:spacing w:after="0"/>
        <w:ind w:left="360"/>
        <w:jc w:val="both"/>
        <w:rPr>
          <w:rFonts w:ascii="Aptos" w:hAnsi="Aptos" w:cstheme="majorHAnsi"/>
          <w:sz w:val="20"/>
          <w:szCs w:val="20"/>
          <w:lang w:val="es-AR"/>
        </w:rPr>
      </w:pPr>
    </w:p>
    <w:p w14:paraId="65D4DE5A" w14:textId="2298F3D5" w:rsidR="007D52BD" w:rsidRPr="00207D95" w:rsidRDefault="00151A8A" w:rsidP="000C1A65">
      <w:pPr>
        <w:jc w:val="center"/>
        <w:rPr>
          <w:rFonts w:ascii="Aptos" w:hAnsi="Aptos" w:cstheme="majorHAnsi"/>
          <w:highlight w:val="yellow"/>
          <w:lang w:val="es-AR"/>
        </w:rPr>
      </w:pPr>
      <w:bookmarkStart w:id="2" w:name="_Hlk71020561"/>
      <w:bookmarkEnd w:id="1"/>
      <w:r w:rsidRPr="00207D95">
        <w:rPr>
          <w:rFonts w:ascii="Aptos" w:hAnsi="Aptos" w:cstheme="majorHAnsi"/>
          <w:lang w:val="es-AR"/>
        </w:rPr>
        <w:t>##</w:t>
      </w:r>
    </w:p>
    <w:p w14:paraId="391E431E" w14:textId="59019CC8" w:rsidR="008E60BB" w:rsidRPr="00207D95" w:rsidRDefault="008E60BB" w:rsidP="00CE0DED">
      <w:pPr>
        <w:jc w:val="center"/>
        <w:rPr>
          <w:rFonts w:ascii="Aptos" w:hAnsi="Aptos" w:cstheme="majorHAnsi"/>
          <w:highlight w:val="yellow"/>
          <w:lang w:val="es-AR"/>
        </w:rPr>
      </w:pPr>
    </w:p>
    <w:p w14:paraId="5A553595" w14:textId="77777777" w:rsidR="00151A8A" w:rsidRPr="00207D95" w:rsidRDefault="00151A8A" w:rsidP="00CE0DED">
      <w:pPr>
        <w:jc w:val="center"/>
        <w:rPr>
          <w:rFonts w:ascii="Aptos" w:hAnsi="Aptos" w:cstheme="majorHAnsi"/>
          <w:highlight w:val="yellow"/>
          <w:lang w:val="es-AR"/>
        </w:rPr>
      </w:pPr>
    </w:p>
    <w:bookmarkEnd w:id="2"/>
    <w:p w14:paraId="4CDBF777" w14:textId="77777777" w:rsidR="0095383F" w:rsidRPr="00207D95" w:rsidRDefault="0095383F" w:rsidP="009736C7">
      <w:pPr>
        <w:pStyle w:val="Chiusura"/>
        <w:rPr>
          <w:rFonts w:ascii="Aptos" w:hAnsi="Aptos" w:cstheme="majorHAnsi"/>
          <w:lang w:val="es-AR"/>
        </w:rPr>
      </w:pPr>
    </w:p>
    <w:p w14:paraId="48BFDD36" w14:textId="77777777" w:rsidR="00A20C5E" w:rsidRPr="00207D95" w:rsidRDefault="00A20C5E" w:rsidP="00A20C5E">
      <w:pPr>
        <w:ind w:right="611"/>
        <w:rPr>
          <w:rFonts w:ascii="Aptos" w:eastAsia="Roboto" w:hAnsi="Aptos" w:cstheme="majorHAnsi"/>
          <w:b/>
          <w:lang w:val="es-AR"/>
        </w:rPr>
      </w:pPr>
      <w:r w:rsidRPr="00207D95">
        <w:rPr>
          <w:rFonts w:ascii="Aptos" w:eastAsia="Roboto" w:hAnsi="Aptos" w:cstheme="majorHAnsi"/>
          <w:b/>
          <w:lang w:val="es-AR"/>
        </w:rPr>
        <w:t>Acerca de La Caja</w:t>
      </w:r>
    </w:p>
    <w:p w14:paraId="4C3F0CB5" w14:textId="77777777" w:rsidR="002678C9" w:rsidRPr="002678C9" w:rsidRDefault="002678C9" w:rsidP="002678C9">
      <w:pPr>
        <w:ind w:right="697"/>
        <w:rPr>
          <w:rFonts w:ascii="Aptos" w:eastAsia="Roboto" w:hAnsi="Aptos" w:cs="Roboto"/>
          <w:szCs w:val="20"/>
          <w:lang w:val="es-AR"/>
        </w:rPr>
      </w:pPr>
      <w:r w:rsidRPr="002678C9">
        <w:rPr>
          <w:rFonts w:ascii="Aptos" w:eastAsia="Roboto" w:hAnsi="Aptos" w:cs="Roboto"/>
          <w:szCs w:val="20"/>
          <w:lang w:val="es-AR"/>
        </w:rPr>
        <w:t xml:space="preserve">Con más de 1.800 empleados y 45 sucursales en todo el país, La Caja mantiene su posición de liderazgo en el Mercado asegurador argentino general con una cuota del 7,8% el total mercado </w:t>
      </w:r>
      <w:proofErr w:type="gramStart"/>
      <w:r w:rsidRPr="002678C9">
        <w:rPr>
          <w:rFonts w:ascii="Aptos" w:eastAsia="Roboto" w:hAnsi="Aptos" w:cs="Roboto"/>
          <w:szCs w:val="20"/>
          <w:lang w:val="es-AR"/>
        </w:rPr>
        <w:t>target</w:t>
      </w:r>
      <w:proofErr w:type="gramEnd"/>
      <w:r w:rsidRPr="002678C9">
        <w:rPr>
          <w:rFonts w:ascii="Aptos" w:eastAsia="Roboto" w:hAnsi="Aptos" w:cs="Roboto"/>
          <w:szCs w:val="20"/>
          <w:lang w:val="es-AR"/>
        </w:rPr>
        <w:t xml:space="preserve"> y del 10,9% en el rubro automotor (según la Superintendencia de Seguros de la Nación a diciembre de 2024).  La compañía está comprometida en convertirse en socio de por vida de sus clientes. Esta premisa es llevada adelante a través de una estrategia </w:t>
      </w:r>
      <w:proofErr w:type="spellStart"/>
      <w:r w:rsidRPr="002678C9">
        <w:rPr>
          <w:rFonts w:ascii="Aptos" w:eastAsia="Roboto" w:hAnsi="Aptos" w:cs="Roboto"/>
          <w:szCs w:val="20"/>
          <w:lang w:val="es-AR"/>
        </w:rPr>
        <w:t>omnicanal</w:t>
      </w:r>
      <w:proofErr w:type="spellEnd"/>
      <w:r w:rsidRPr="002678C9">
        <w:rPr>
          <w:rFonts w:ascii="Aptos" w:eastAsia="Roboto" w:hAnsi="Aptos" w:cs="Roboto"/>
          <w:szCs w:val="20"/>
          <w:lang w:val="es-AR"/>
        </w:rPr>
        <w:t>, que prioriza la cercanía con las necesidades de los clientes, la provisión de soluciones personalizadas brindadas a través de innovaciones tecnológicas y la sostenibilidad en toda la cadena de valor.</w:t>
      </w:r>
    </w:p>
    <w:p w14:paraId="29D75452" w14:textId="77777777" w:rsidR="002678C9" w:rsidRPr="002678C9" w:rsidRDefault="002678C9" w:rsidP="002678C9">
      <w:pPr>
        <w:ind w:right="697"/>
        <w:rPr>
          <w:rFonts w:ascii="Aptos" w:eastAsia="Roboto" w:hAnsi="Aptos" w:cs="Roboto"/>
          <w:szCs w:val="20"/>
          <w:lang w:val="es-AR"/>
        </w:rPr>
      </w:pPr>
      <w:r w:rsidRPr="002678C9">
        <w:rPr>
          <w:rFonts w:ascii="Aptos" w:eastAsia="Roboto" w:hAnsi="Aptos" w:cs="Roboto"/>
          <w:szCs w:val="20"/>
          <w:lang w:val="es-AR"/>
        </w:rPr>
        <w:t xml:space="preserve"> </w:t>
      </w:r>
    </w:p>
    <w:p w14:paraId="44CA9C17" w14:textId="77777777" w:rsidR="002678C9" w:rsidRPr="002678C9" w:rsidRDefault="002678C9" w:rsidP="002678C9">
      <w:pPr>
        <w:ind w:right="697"/>
        <w:rPr>
          <w:rFonts w:ascii="Aptos" w:eastAsia="Roboto" w:hAnsi="Aptos" w:cs="Roboto"/>
          <w:szCs w:val="20"/>
          <w:lang w:val="es-AR"/>
        </w:rPr>
      </w:pPr>
      <w:r w:rsidRPr="002678C9">
        <w:rPr>
          <w:rFonts w:ascii="Aptos" w:eastAsia="Roboto" w:hAnsi="Aptos" w:cs="Roboto"/>
          <w:szCs w:val="20"/>
          <w:lang w:val="es-AR"/>
        </w:rPr>
        <w:t>La Caja es parte del Grupo italiano Generali, uno de los mayores proveedores mundiales de seguros y gestión de activos, con más de un siglo de antigüedad y presencia en 50 países. El Grupo mantiene una posición de liderazgo en Europa y una presencia creciente en Asia y América Latina, con alrededor de 82.000 empleados y 71 millones de clientes. La Caja representa la mayor participación del Grupo en Latinoamérica.</w:t>
      </w:r>
    </w:p>
    <w:p w14:paraId="6124DF59" w14:textId="77777777" w:rsidR="00A20C5E" w:rsidRDefault="00A20C5E" w:rsidP="00A20C5E">
      <w:pPr>
        <w:rPr>
          <w:rFonts w:ascii="Aptos" w:eastAsia="Roboto" w:hAnsi="Aptos" w:cstheme="majorHAnsi"/>
          <w:lang w:val="es-AR"/>
        </w:rPr>
      </w:pPr>
    </w:p>
    <w:p w14:paraId="3D24EA58" w14:textId="77777777" w:rsidR="002678C9" w:rsidRPr="00207D95" w:rsidRDefault="002678C9" w:rsidP="00A20C5E">
      <w:pPr>
        <w:rPr>
          <w:rFonts w:ascii="Aptos" w:eastAsia="Roboto" w:hAnsi="Aptos" w:cstheme="majorHAnsi"/>
          <w:lang w:val="es-AR"/>
        </w:rPr>
      </w:pPr>
    </w:p>
    <w:p w14:paraId="5E994F91" w14:textId="77777777" w:rsidR="00A20C5E" w:rsidRPr="00207D95" w:rsidRDefault="00A20C5E" w:rsidP="00A20C5E">
      <w:pPr>
        <w:rPr>
          <w:rFonts w:ascii="Aptos" w:eastAsia="Roboto" w:hAnsi="Aptos" w:cstheme="majorHAnsi"/>
          <w:b/>
          <w:lang w:val="es-AR"/>
        </w:rPr>
      </w:pPr>
      <w:r w:rsidRPr="00207D95">
        <w:rPr>
          <w:rFonts w:ascii="Aptos" w:eastAsia="Roboto" w:hAnsi="Aptos" w:cstheme="majorHAnsi"/>
          <w:b/>
          <w:lang w:val="es-AR"/>
        </w:rPr>
        <w:t>Contacto de Prensa:</w:t>
      </w:r>
    </w:p>
    <w:p w14:paraId="3A8E5FA4" w14:textId="77777777" w:rsidR="00A20C5E" w:rsidRPr="00207D95" w:rsidRDefault="00A20C5E" w:rsidP="00A20C5E">
      <w:pPr>
        <w:rPr>
          <w:rFonts w:ascii="Aptos" w:eastAsia="Roboto" w:hAnsi="Aptos" w:cstheme="majorHAnsi"/>
          <w:lang w:val="es-AR"/>
        </w:rPr>
      </w:pPr>
    </w:p>
    <w:p w14:paraId="02F7FAFC" w14:textId="77777777" w:rsidR="00A20C5E" w:rsidRPr="00207D95" w:rsidRDefault="00A20C5E" w:rsidP="00A20C5E">
      <w:pPr>
        <w:rPr>
          <w:rFonts w:ascii="Aptos" w:eastAsia="Roboto" w:hAnsi="Aptos" w:cstheme="majorHAnsi"/>
          <w:b/>
          <w:bCs/>
          <w:lang w:val="es-AR"/>
        </w:rPr>
      </w:pPr>
      <w:r w:rsidRPr="00207D95">
        <w:rPr>
          <w:rFonts w:ascii="Aptos" w:eastAsia="Roboto" w:hAnsi="Aptos" w:cstheme="majorHAnsi"/>
          <w:b/>
          <w:bCs/>
          <w:lang w:val="es-AR"/>
        </w:rPr>
        <w:t>Santiago Cano</w:t>
      </w:r>
    </w:p>
    <w:p w14:paraId="7E64584E" w14:textId="77777777" w:rsidR="00A20C5E" w:rsidRPr="00207D95" w:rsidRDefault="00A20C5E" w:rsidP="00A20C5E">
      <w:pPr>
        <w:rPr>
          <w:rFonts w:ascii="Aptos" w:eastAsia="Roboto" w:hAnsi="Aptos" w:cstheme="majorHAnsi"/>
          <w:lang w:val="es-AR"/>
        </w:rPr>
      </w:pPr>
      <w:r w:rsidRPr="00207D95">
        <w:rPr>
          <w:rFonts w:ascii="Aptos" w:eastAsia="Roboto" w:hAnsi="Aptos" w:cstheme="majorHAnsi"/>
          <w:lang w:val="es-AR"/>
        </w:rPr>
        <w:t>Responsable de Prensa y Relación con los Medios</w:t>
      </w:r>
    </w:p>
    <w:p w14:paraId="6A9CA278" w14:textId="77777777" w:rsidR="00A20C5E" w:rsidRPr="00207D95" w:rsidRDefault="00A20C5E" w:rsidP="00A20C5E">
      <w:pPr>
        <w:rPr>
          <w:rFonts w:ascii="Aptos" w:eastAsia="Roboto" w:hAnsi="Aptos" w:cstheme="majorHAnsi"/>
          <w:lang w:val="en-US"/>
        </w:rPr>
      </w:pPr>
      <w:r w:rsidRPr="00207D95">
        <w:rPr>
          <w:rFonts w:ascii="Aptos" w:eastAsia="Roboto" w:hAnsi="Aptos" w:cstheme="majorHAnsi"/>
          <w:lang w:val="en-US"/>
        </w:rPr>
        <w:t>canos@lacaja.com.ar</w:t>
      </w:r>
    </w:p>
    <w:p w14:paraId="1611C95C" w14:textId="77777777" w:rsidR="00A20C5E" w:rsidRPr="00207D95" w:rsidRDefault="00A20C5E" w:rsidP="00A20C5E">
      <w:pPr>
        <w:rPr>
          <w:rFonts w:ascii="Aptos" w:eastAsia="Roboto" w:hAnsi="Aptos" w:cstheme="majorHAnsi"/>
          <w:lang w:val="en-US"/>
        </w:rPr>
      </w:pPr>
      <w:r w:rsidRPr="00207D95">
        <w:rPr>
          <w:rFonts w:ascii="Aptos" w:eastAsia="Roboto" w:hAnsi="Aptos" w:cstheme="majorHAnsi"/>
          <w:lang w:val="en-US"/>
        </w:rPr>
        <w:t>+54 9 11 3524 9586</w:t>
      </w:r>
    </w:p>
    <w:p w14:paraId="43669A40" w14:textId="77777777" w:rsidR="00A20C5E" w:rsidRPr="00207D95" w:rsidRDefault="00A20C5E" w:rsidP="00A20C5E">
      <w:pPr>
        <w:rPr>
          <w:rFonts w:ascii="Aptos" w:eastAsia="Roboto" w:hAnsi="Aptos" w:cstheme="majorHAnsi"/>
          <w:lang w:val="en-US"/>
        </w:rPr>
      </w:pPr>
    </w:p>
    <w:p w14:paraId="52385C32" w14:textId="77777777" w:rsidR="00A20C5E" w:rsidRPr="00207D95" w:rsidRDefault="00A20C5E" w:rsidP="00A20C5E">
      <w:pPr>
        <w:rPr>
          <w:rFonts w:ascii="Aptos" w:eastAsia="Roboto" w:hAnsi="Aptos" w:cstheme="majorHAnsi"/>
          <w:b/>
          <w:bCs/>
          <w:lang w:val="en-US"/>
        </w:rPr>
      </w:pPr>
      <w:r w:rsidRPr="00207D95">
        <w:rPr>
          <w:rFonts w:ascii="Aptos" w:eastAsia="Roboto" w:hAnsi="Aptos" w:cstheme="majorHAnsi"/>
          <w:b/>
          <w:bCs/>
          <w:lang w:val="en-US"/>
        </w:rPr>
        <w:t>Feedback PR</w:t>
      </w:r>
    </w:p>
    <w:p w14:paraId="5735C6ED" w14:textId="77777777" w:rsidR="00A20C5E" w:rsidRPr="00207D95" w:rsidRDefault="00A20C5E" w:rsidP="00A20C5E">
      <w:pPr>
        <w:rPr>
          <w:rFonts w:ascii="Aptos" w:eastAsia="Roboto" w:hAnsi="Aptos" w:cstheme="majorHAnsi"/>
          <w:lang w:val="es-AR"/>
        </w:rPr>
      </w:pPr>
      <w:r w:rsidRPr="00207D95">
        <w:rPr>
          <w:rFonts w:ascii="Aptos" w:eastAsia="Roboto" w:hAnsi="Aptos" w:cstheme="majorHAnsi"/>
          <w:lang w:val="es-AR"/>
        </w:rPr>
        <w:t xml:space="preserve">Fedra </w:t>
      </w:r>
      <w:proofErr w:type="spellStart"/>
      <w:r w:rsidRPr="00207D95">
        <w:rPr>
          <w:rFonts w:ascii="Aptos" w:eastAsia="Roboto" w:hAnsi="Aptos" w:cstheme="majorHAnsi"/>
          <w:lang w:val="es-AR"/>
        </w:rPr>
        <w:t>Molaro</w:t>
      </w:r>
      <w:proofErr w:type="spellEnd"/>
    </w:p>
    <w:p w14:paraId="451D46FE" w14:textId="77777777" w:rsidR="00A20C5E" w:rsidRPr="00207D95" w:rsidRDefault="00A20C5E" w:rsidP="00A20C5E">
      <w:pPr>
        <w:rPr>
          <w:rFonts w:ascii="Aptos" w:eastAsia="Roboto" w:hAnsi="Aptos" w:cstheme="majorHAnsi"/>
          <w:lang w:val="es-AR"/>
        </w:rPr>
      </w:pPr>
      <w:r w:rsidRPr="00207D95">
        <w:rPr>
          <w:rFonts w:ascii="Aptos" w:eastAsia="Roboto" w:hAnsi="Aptos" w:cstheme="majorHAnsi"/>
          <w:lang w:val="es-AR"/>
        </w:rPr>
        <w:t>Ejecutiva de Cuentas</w:t>
      </w:r>
    </w:p>
    <w:p w14:paraId="0F395066" w14:textId="77777777" w:rsidR="00A20C5E" w:rsidRPr="00207D95" w:rsidRDefault="00A20C5E" w:rsidP="00A20C5E">
      <w:pPr>
        <w:rPr>
          <w:rFonts w:ascii="Aptos" w:eastAsia="Roboto" w:hAnsi="Aptos" w:cstheme="majorHAnsi"/>
          <w:lang w:val="es-AR"/>
        </w:rPr>
      </w:pPr>
      <w:r w:rsidRPr="00207D95">
        <w:rPr>
          <w:rFonts w:ascii="Aptos" w:eastAsia="Roboto" w:hAnsi="Aptos" w:cstheme="majorHAnsi"/>
          <w:lang w:val="es-AR"/>
        </w:rPr>
        <w:t>fedra@feedbackpr.com.ar</w:t>
      </w:r>
    </w:p>
    <w:p w14:paraId="24CE0F88" w14:textId="77777777" w:rsidR="00A20C5E" w:rsidRPr="00207D95" w:rsidRDefault="00A20C5E" w:rsidP="00A20C5E">
      <w:pPr>
        <w:rPr>
          <w:rFonts w:ascii="Aptos" w:eastAsia="Roboto" w:hAnsi="Aptos" w:cstheme="majorHAnsi"/>
        </w:rPr>
      </w:pPr>
      <w:r w:rsidRPr="00207D95">
        <w:rPr>
          <w:rFonts w:ascii="Aptos" w:eastAsia="Roboto" w:hAnsi="Aptos" w:cstheme="majorHAnsi"/>
        </w:rPr>
        <w:t>+54 9 11 2330 7553</w:t>
      </w:r>
    </w:p>
    <w:p w14:paraId="63C2F1B7" w14:textId="77777777" w:rsidR="00A20C5E" w:rsidRPr="00207D95" w:rsidRDefault="00A20C5E" w:rsidP="008A6A03">
      <w:pPr>
        <w:rPr>
          <w:rFonts w:ascii="Aptos" w:hAnsi="Aptos" w:cstheme="majorHAnsi"/>
          <w:b/>
          <w:bCs/>
          <w:color w:val="000000"/>
          <w:sz w:val="18"/>
          <w:szCs w:val="18"/>
          <w:highlight w:val="yellow"/>
        </w:rPr>
      </w:pPr>
    </w:p>
    <w:sectPr w:rsidR="00A20C5E" w:rsidRPr="00207D95" w:rsidSect="00AF1AF1">
      <w:headerReference w:type="even" r:id="rId19"/>
      <w:headerReference w:type="default" r:id="rId20"/>
      <w:footerReference w:type="even" r:id="rId21"/>
      <w:footerReference w:type="default" r:id="rId22"/>
      <w:headerReference w:type="first" r:id="rId23"/>
      <w:footerReference w:type="first" r:id="rId24"/>
      <w:pgSz w:w="11900" w:h="16840"/>
      <w:pgMar w:top="1417" w:right="1134" w:bottom="1276" w:left="1134"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D6945" w14:textId="77777777" w:rsidR="00AD17E4" w:rsidRDefault="00AD17E4" w:rsidP="001A4B23">
      <w:r>
        <w:separator/>
      </w:r>
    </w:p>
  </w:endnote>
  <w:endnote w:type="continuationSeparator" w:id="0">
    <w:p w14:paraId="731689B0" w14:textId="77777777" w:rsidR="00AD17E4" w:rsidRDefault="00AD17E4" w:rsidP="001A4B23">
      <w:r>
        <w:continuationSeparator/>
      </w:r>
    </w:p>
  </w:endnote>
  <w:endnote w:type="continuationNotice" w:id="1">
    <w:p w14:paraId="03F5D02E" w14:textId="77777777" w:rsidR="00AD17E4" w:rsidRDefault="00AD1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Titoli CS)">
    <w:altName w:val="Times New Roman"/>
    <w:charset w:val="00"/>
    <w:family w:val="roman"/>
    <w:pitch w:val="variable"/>
    <w:sig w:usb0="E0002AFF" w:usb1="C0007841" w:usb2="00000009" w:usb3="00000000" w:csb0="000001FF" w:csb1="00000000"/>
  </w:font>
  <w:font w:name="Times New Roman (Corpo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94203281"/>
      <w:docPartObj>
        <w:docPartGallery w:val="Page Numbers (Bottom of Page)"/>
        <w:docPartUnique/>
      </w:docPartObj>
    </w:sdtPr>
    <w:sdtContent>
      <w:p w14:paraId="3AF02F32" w14:textId="244EE060" w:rsidR="001652DC" w:rsidRDefault="001652DC" w:rsidP="00210005">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1D5651B" w14:textId="77777777" w:rsidR="001652DC" w:rsidRDefault="001652DC" w:rsidP="001A4B23">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FCD0E" w14:textId="77777777" w:rsidR="00AF1AF1" w:rsidRPr="00AF1AF1" w:rsidRDefault="00AF1AF1" w:rsidP="00AF1AF1">
    <w:pPr>
      <w:pBdr>
        <w:top w:val="nil"/>
        <w:left w:val="nil"/>
        <w:bottom w:val="nil"/>
        <w:right w:val="nil"/>
        <w:between w:val="nil"/>
      </w:pBdr>
      <w:tabs>
        <w:tab w:val="center" w:pos="4252"/>
        <w:tab w:val="right" w:pos="8504"/>
      </w:tabs>
      <w:jc w:val="center"/>
      <w:rPr>
        <w:rFonts w:asciiTheme="majorHAnsi" w:hAnsiTheme="majorHAnsi" w:cstheme="majorHAnsi"/>
        <w:b/>
        <w:bCs/>
        <w:sz w:val="18"/>
        <w:szCs w:val="18"/>
        <w:lang w:val="es-AR"/>
      </w:rPr>
    </w:pPr>
    <w:r w:rsidRPr="00AF1AF1">
      <w:rPr>
        <w:rFonts w:asciiTheme="majorHAnsi" w:hAnsiTheme="majorHAnsi" w:cstheme="majorHAnsi"/>
        <w:b/>
        <w:bCs/>
        <w:sz w:val="18"/>
        <w:szCs w:val="18"/>
        <w:lang w:val="es-AR"/>
      </w:rPr>
      <w:t>CAJA DE SEGUROS S.A. – CUIT 30-66320562-1</w:t>
    </w:r>
  </w:p>
  <w:p w14:paraId="79D3A42A" w14:textId="44B4F4A1" w:rsidR="009C0684" w:rsidRPr="00AF1AF1" w:rsidRDefault="00AF1AF1" w:rsidP="00AF1AF1">
    <w:pPr>
      <w:pBdr>
        <w:top w:val="nil"/>
        <w:left w:val="nil"/>
        <w:bottom w:val="nil"/>
        <w:right w:val="nil"/>
        <w:between w:val="nil"/>
      </w:pBdr>
      <w:tabs>
        <w:tab w:val="center" w:pos="4252"/>
        <w:tab w:val="right" w:pos="8504"/>
      </w:tabs>
      <w:jc w:val="center"/>
      <w:rPr>
        <w:rFonts w:asciiTheme="majorHAnsi" w:hAnsiTheme="majorHAnsi" w:cstheme="majorHAnsi"/>
        <w:sz w:val="18"/>
        <w:szCs w:val="18"/>
      </w:rPr>
    </w:pPr>
    <w:r w:rsidRPr="00AF1AF1">
      <w:rPr>
        <w:rFonts w:asciiTheme="majorHAnsi" w:hAnsiTheme="majorHAnsi" w:cstheme="majorHAnsi"/>
        <w:sz w:val="18"/>
        <w:szCs w:val="18"/>
        <w:lang w:val="es-AR"/>
      </w:rPr>
      <w:t xml:space="preserve">Entidad autorizada por la Superintendencia de Seguros de la Nación. </w:t>
    </w:r>
    <w:proofErr w:type="spellStart"/>
    <w:r w:rsidRPr="00AF1AF1">
      <w:rPr>
        <w:rFonts w:asciiTheme="majorHAnsi" w:hAnsiTheme="majorHAnsi" w:cstheme="majorHAnsi"/>
        <w:sz w:val="18"/>
        <w:szCs w:val="18"/>
      </w:rPr>
      <w:t>Registro</w:t>
    </w:r>
    <w:proofErr w:type="spellEnd"/>
    <w:r w:rsidRPr="00AF1AF1">
      <w:rPr>
        <w:rFonts w:asciiTheme="majorHAnsi" w:hAnsiTheme="majorHAnsi" w:cstheme="majorHAnsi"/>
        <w:sz w:val="18"/>
        <w:szCs w:val="18"/>
      </w:rPr>
      <w:t xml:space="preserve"> Nº 501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7088" w14:textId="77777777" w:rsidR="00AF1AF1" w:rsidRPr="00AF1AF1" w:rsidRDefault="00AF1AF1" w:rsidP="00AF1AF1">
    <w:pPr>
      <w:pBdr>
        <w:top w:val="nil"/>
        <w:left w:val="nil"/>
        <w:bottom w:val="nil"/>
        <w:right w:val="nil"/>
        <w:between w:val="nil"/>
      </w:pBdr>
      <w:tabs>
        <w:tab w:val="center" w:pos="4252"/>
        <w:tab w:val="right" w:pos="8504"/>
      </w:tabs>
      <w:jc w:val="center"/>
      <w:rPr>
        <w:rFonts w:asciiTheme="majorHAnsi" w:hAnsiTheme="majorHAnsi" w:cstheme="majorHAnsi"/>
        <w:b/>
        <w:bCs/>
        <w:sz w:val="18"/>
        <w:szCs w:val="18"/>
        <w:lang w:val="es-AR"/>
      </w:rPr>
    </w:pPr>
    <w:r w:rsidRPr="00AF1AF1">
      <w:rPr>
        <w:rFonts w:asciiTheme="majorHAnsi" w:hAnsiTheme="majorHAnsi" w:cstheme="majorHAnsi"/>
        <w:b/>
        <w:bCs/>
        <w:sz w:val="18"/>
        <w:szCs w:val="18"/>
        <w:lang w:val="es-AR"/>
      </w:rPr>
      <w:t>CAJA DE SEGUROS S.A. – CUIT 30-66320562-1</w:t>
    </w:r>
  </w:p>
  <w:p w14:paraId="464106DC" w14:textId="2C3C5D60" w:rsidR="001652DC" w:rsidRPr="00AF1AF1" w:rsidRDefault="00AF1AF1" w:rsidP="00AF1AF1">
    <w:pPr>
      <w:pBdr>
        <w:top w:val="nil"/>
        <w:left w:val="nil"/>
        <w:bottom w:val="nil"/>
        <w:right w:val="nil"/>
        <w:between w:val="nil"/>
      </w:pBdr>
      <w:tabs>
        <w:tab w:val="center" w:pos="4252"/>
        <w:tab w:val="right" w:pos="8504"/>
      </w:tabs>
      <w:jc w:val="center"/>
      <w:rPr>
        <w:rFonts w:asciiTheme="majorHAnsi" w:hAnsiTheme="majorHAnsi" w:cstheme="majorHAnsi"/>
        <w:sz w:val="18"/>
        <w:szCs w:val="18"/>
      </w:rPr>
    </w:pPr>
    <w:r w:rsidRPr="00AF1AF1">
      <w:rPr>
        <w:rFonts w:asciiTheme="majorHAnsi" w:hAnsiTheme="majorHAnsi" w:cstheme="majorHAnsi"/>
        <w:sz w:val="18"/>
        <w:szCs w:val="18"/>
        <w:lang w:val="es-AR"/>
      </w:rPr>
      <w:t xml:space="preserve">Entidad autorizada por la Superintendencia de Seguros de la Nación. </w:t>
    </w:r>
    <w:proofErr w:type="spellStart"/>
    <w:r w:rsidRPr="00AF1AF1">
      <w:rPr>
        <w:rFonts w:asciiTheme="majorHAnsi" w:hAnsiTheme="majorHAnsi" w:cstheme="majorHAnsi"/>
        <w:sz w:val="18"/>
        <w:szCs w:val="18"/>
      </w:rPr>
      <w:t>Registro</w:t>
    </w:r>
    <w:proofErr w:type="spellEnd"/>
    <w:r w:rsidRPr="00AF1AF1">
      <w:rPr>
        <w:rFonts w:asciiTheme="majorHAnsi" w:hAnsiTheme="majorHAnsi" w:cstheme="majorHAnsi"/>
        <w:sz w:val="18"/>
        <w:szCs w:val="18"/>
      </w:rPr>
      <w:t xml:space="preserve"> Nº 501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0FF36" w14:textId="77777777" w:rsidR="00AD17E4" w:rsidRDefault="00AD17E4" w:rsidP="001A4B23">
      <w:r>
        <w:separator/>
      </w:r>
    </w:p>
  </w:footnote>
  <w:footnote w:type="continuationSeparator" w:id="0">
    <w:p w14:paraId="507B3F48" w14:textId="77777777" w:rsidR="00AD17E4" w:rsidRDefault="00AD17E4" w:rsidP="001A4B23">
      <w:r>
        <w:continuationSeparator/>
      </w:r>
    </w:p>
  </w:footnote>
  <w:footnote w:type="continuationNotice" w:id="1">
    <w:p w14:paraId="271155FB" w14:textId="77777777" w:rsidR="00AD17E4" w:rsidRDefault="00AD17E4"/>
  </w:footnote>
  <w:footnote w:id="2">
    <w:p w14:paraId="09A31AAC" w14:textId="0CE2127D" w:rsidR="00A94005" w:rsidRPr="00A94005" w:rsidRDefault="00A94005">
      <w:pPr>
        <w:pStyle w:val="Textonotapie"/>
        <w:rPr>
          <w:lang w:val="es-AR"/>
        </w:rPr>
      </w:pPr>
      <w:r w:rsidRPr="00C02EAE">
        <w:rPr>
          <w:rStyle w:val="Refdenotaalpie"/>
        </w:rPr>
        <w:footnoteRef/>
      </w:r>
      <w:r w:rsidRPr="00C02EAE">
        <w:rPr>
          <w:lang w:val="es-AR"/>
        </w:rPr>
        <w:t xml:space="preserve"> Para la definición del resultado neto ajustado, por favor consulta la nota 2 en </w:t>
      </w:r>
      <w:r w:rsidR="00C02EAE" w:rsidRPr="00C02EAE">
        <w:rPr>
          <w:lang w:val="es-AR"/>
        </w:rPr>
        <w:t>tabla “Key Figures”</w:t>
      </w:r>
    </w:p>
  </w:footnote>
  <w:footnote w:id="3">
    <w:p w14:paraId="6CC17513" w14:textId="35C74D2B" w:rsidR="00E102A8" w:rsidRPr="00E102A8" w:rsidRDefault="00E102A8">
      <w:pPr>
        <w:pStyle w:val="Textonotapie"/>
        <w:rPr>
          <w:lang w:val="es-AR"/>
        </w:rPr>
      </w:pPr>
      <w:r>
        <w:rPr>
          <w:rStyle w:val="Refdenotaalpie"/>
        </w:rPr>
        <w:footnoteRef/>
      </w:r>
      <w:r w:rsidRPr="00E102A8">
        <w:rPr>
          <w:lang w:val="es-AR"/>
        </w:rPr>
        <w:t xml:space="preserve"> Se refiere a las ganancias de capital por disposiciones durante 2023, en particular la venta de Generali </w:t>
      </w:r>
      <w:proofErr w:type="spellStart"/>
      <w:r w:rsidRPr="00E102A8">
        <w:rPr>
          <w:lang w:val="es-AR"/>
        </w:rPr>
        <w:t>Deutschland</w:t>
      </w:r>
      <w:proofErr w:type="spellEnd"/>
      <w:r w:rsidRPr="00E102A8">
        <w:rPr>
          <w:lang w:val="es-AR"/>
        </w:rPr>
        <w:t xml:space="preserve"> </w:t>
      </w:r>
      <w:proofErr w:type="spellStart"/>
      <w:r w:rsidRPr="00E102A8">
        <w:rPr>
          <w:lang w:val="es-AR"/>
        </w:rPr>
        <w:t>Pensionskasse</w:t>
      </w:r>
      <w:proofErr w:type="spellEnd"/>
      <w:r w:rsidRPr="00E102A8">
        <w:rPr>
          <w:lang w:val="es-AR"/>
        </w:rPr>
        <w:t xml:space="preserve"> y la JV de </w:t>
      </w:r>
      <w:proofErr w:type="spellStart"/>
      <w:r w:rsidRPr="00E102A8">
        <w:rPr>
          <w:lang w:val="es-AR"/>
        </w:rPr>
        <w:t>Cattolica</w:t>
      </w:r>
      <w:proofErr w:type="spellEnd"/>
      <w:r w:rsidRPr="00E102A8">
        <w:rPr>
          <w:lang w:val="es-AR"/>
        </w:rPr>
        <w:t>.</w:t>
      </w:r>
    </w:p>
  </w:footnote>
  <w:footnote w:id="4">
    <w:p w14:paraId="4E23BAD5" w14:textId="426B4AEE" w:rsidR="00EF0598" w:rsidRPr="00EF0598" w:rsidRDefault="00EF0598">
      <w:pPr>
        <w:pStyle w:val="Textonotapie"/>
        <w:rPr>
          <w:lang w:val="es-AR"/>
        </w:rPr>
      </w:pPr>
      <w:r>
        <w:rPr>
          <w:rStyle w:val="Refdenotaalpie"/>
        </w:rPr>
        <w:footnoteRef/>
      </w:r>
      <w:r w:rsidRPr="00C30672">
        <w:rPr>
          <w:lang w:val="es-AR"/>
        </w:rPr>
        <w:t xml:space="preserve"> </w:t>
      </w:r>
      <w:r>
        <w:rPr>
          <w:lang w:val="es-AR"/>
        </w:rPr>
        <w:t>CAGR de 3 años</w:t>
      </w:r>
    </w:p>
  </w:footnote>
  <w:footnote w:id="5">
    <w:p w14:paraId="799EFD81" w14:textId="46051117" w:rsidR="00850EA2" w:rsidRPr="00850EA2" w:rsidRDefault="00850EA2">
      <w:pPr>
        <w:pStyle w:val="Textonotapie"/>
        <w:rPr>
          <w:lang w:val="es-AR"/>
        </w:rPr>
      </w:pPr>
      <w:r>
        <w:rPr>
          <w:rStyle w:val="Refdenotaalpie"/>
        </w:rPr>
        <w:footnoteRef/>
      </w:r>
      <w:r w:rsidRPr="00850EA2">
        <w:rPr>
          <w:lang w:val="es-AR"/>
        </w:rPr>
        <w:t xml:space="preserve"> Expresado en términos de efectivo (es decir, los flujos de efectivo se informan bajo el año de pago).</w:t>
      </w:r>
    </w:p>
  </w:footnote>
  <w:footnote w:id="6">
    <w:p w14:paraId="54D4800C" w14:textId="120E8ACB" w:rsidR="00850EA2" w:rsidRPr="00850EA2" w:rsidRDefault="00850EA2">
      <w:pPr>
        <w:pStyle w:val="Textonotapie"/>
        <w:rPr>
          <w:lang w:val="es-AR"/>
        </w:rPr>
      </w:pPr>
      <w:r>
        <w:rPr>
          <w:rStyle w:val="Refdenotaalpie"/>
        </w:rPr>
        <w:footnoteRef/>
      </w:r>
      <w:r w:rsidRPr="00C30672">
        <w:rPr>
          <w:lang w:val="es-AR"/>
        </w:rPr>
        <w:t xml:space="preserve"> </w:t>
      </w:r>
      <w:r w:rsidRPr="00C30672">
        <w:rPr>
          <w:lang w:val="es-AR"/>
        </w:rPr>
        <w:t>Expresado en términos de efectivo</w:t>
      </w:r>
    </w:p>
  </w:footnote>
  <w:footnote w:id="7">
    <w:p w14:paraId="716883A8" w14:textId="4626B09C" w:rsidR="000151A5" w:rsidRPr="000151A5" w:rsidRDefault="000151A5">
      <w:pPr>
        <w:pStyle w:val="Textonotapie"/>
        <w:rPr>
          <w:lang w:val="es-AR"/>
        </w:rPr>
      </w:pPr>
      <w:r>
        <w:rPr>
          <w:rStyle w:val="Refdenotaalpie"/>
        </w:rPr>
        <w:footnoteRef/>
      </w:r>
      <w:r w:rsidRPr="000151A5">
        <w:rPr>
          <w:lang w:val="es-AR"/>
        </w:rPr>
        <w:t xml:space="preserve"> Incluyendo primas de contratos de inversión por un total de € 1.566 millones (€ 1.383 millones en FY2023).</w:t>
      </w:r>
    </w:p>
  </w:footnote>
  <w:footnote w:id="8">
    <w:p w14:paraId="6D8495FE" w14:textId="6101AAAC" w:rsidR="000B53DF" w:rsidRPr="000B53DF" w:rsidRDefault="000B53DF">
      <w:pPr>
        <w:pStyle w:val="Textonotapie"/>
        <w:rPr>
          <w:lang w:val="es-AR"/>
        </w:rPr>
      </w:pPr>
      <w:r>
        <w:rPr>
          <w:rStyle w:val="Refdenotaalpie"/>
        </w:rPr>
        <w:footnoteRef/>
      </w:r>
      <w:r w:rsidRPr="000B53DF">
        <w:rPr>
          <w:lang w:val="es-AR"/>
        </w:rPr>
        <w:t xml:space="preserve"> El negocio de protección colectiva en Francia suscrito en el 4T 2023 con cobertura a partir de 2024 se consideró rentable y, por lo tanto, en línea con los requisitos de IFRS 17, reconocido completamente en el 1T 2024. La mayoría del negocio suscrito en el 4T 2022 con cobertura a partir de 2023 se consideró oneroso y, por lo tanto, se reconoció antes en el 4T 2022.</w:t>
      </w:r>
    </w:p>
  </w:footnote>
  <w:footnote w:id="9">
    <w:p w14:paraId="5C4AD1AE" w14:textId="05A51667" w:rsidR="006E0C2C" w:rsidRPr="006E0C2C" w:rsidRDefault="006E0C2C">
      <w:pPr>
        <w:pStyle w:val="Textonotapie"/>
        <w:rPr>
          <w:lang w:val="es-AR"/>
        </w:rPr>
      </w:pPr>
      <w:r>
        <w:rPr>
          <w:rStyle w:val="Refdenotaalpie"/>
        </w:rPr>
        <w:footnoteRef/>
      </w:r>
      <w:r w:rsidRPr="006E0C2C">
        <w:rPr>
          <w:lang w:val="es-AR"/>
        </w:rPr>
        <w:t xml:space="preserve"> CAGR de 3 años basado en el Resultado Neto Ajustado del Grupo</w:t>
      </w:r>
    </w:p>
  </w:footnote>
  <w:footnote w:id="10">
    <w:p w14:paraId="691F0C3F" w14:textId="7DC90969" w:rsidR="00D52A70" w:rsidRPr="00D52A70" w:rsidRDefault="00D52A70">
      <w:pPr>
        <w:pStyle w:val="Textonotapie"/>
        <w:rPr>
          <w:lang w:val="es-AR"/>
        </w:rPr>
      </w:pPr>
      <w:r>
        <w:rPr>
          <w:rStyle w:val="Refdenotaalpie"/>
        </w:rPr>
        <w:footnoteRef/>
      </w:r>
      <w:r w:rsidRPr="00D52A70">
        <w:rPr>
          <w:lang w:val="es-AR"/>
        </w:rPr>
        <w:t xml:space="preserve"> Expresado en términos de efectivo.</w:t>
      </w:r>
    </w:p>
  </w:footnote>
  <w:footnote w:id="11">
    <w:p w14:paraId="1967096F" w14:textId="16AB1E2C" w:rsidR="00436DE0" w:rsidRPr="00436DE0" w:rsidRDefault="00436DE0">
      <w:pPr>
        <w:pStyle w:val="Textonotapie"/>
        <w:rPr>
          <w:lang w:val="es-AR"/>
        </w:rPr>
      </w:pPr>
      <w:r>
        <w:rPr>
          <w:rStyle w:val="Refdenotaalpie"/>
        </w:rPr>
        <w:footnoteRef/>
      </w:r>
      <w:r w:rsidRPr="00436DE0">
        <w:rPr>
          <w:lang w:val="es-AR"/>
        </w:rPr>
        <w:t xml:space="preserve"> Sujeto a todas las aprobaciones relevantes</w:t>
      </w:r>
    </w:p>
  </w:footnote>
  <w:footnote w:id="12">
    <w:p w14:paraId="15C290E2" w14:textId="2647B998" w:rsidR="00436DE0" w:rsidRPr="00436DE0" w:rsidRDefault="00436DE0">
      <w:pPr>
        <w:pStyle w:val="Textonotapie"/>
        <w:rPr>
          <w:lang w:val="es-AR"/>
        </w:rPr>
      </w:pPr>
      <w:r>
        <w:rPr>
          <w:rStyle w:val="Refdenotaalpie"/>
        </w:rPr>
        <w:footnoteRef/>
      </w:r>
      <w:r w:rsidRPr="00436DE0">
        <w:rPr>
          <w:lang w:val="es-AR"/>
        </w:rPr>
        <w:t xml:space="preserve"> Sujeto a todas las aprobaciones relevantes</w:t>
      </w:r>
    </w:p>
  </w:footnote>
  <w:footnote w:id="13">
    <w:p w14:paraId="5B6B8368" w14:textId="7981395C" w:rsidR="00436DE0" w:rsidRPr="00436DE0" w:rsidRDefault="00436DE0">
      <w:pPr>
        <w:pStyle w:val="Textonotapie"/>
        <w:rPr>
          <w:lang w:val="es-AR"/>
        </w:rPr>
      </w:pPr>
      <w:r>
        <w:rPr>
          <w:rStyle w:val="Refdenotaalpie"/>
        </w:rPr>
        <w:footnoteRef/>
      </w:r>
      <w:r w:rsidRPr="00436DE0">
        <w:rPr>
          <w:lang w:val="es-AR"/>
        </w:rPr>
        <w:t xml:space="preserve"> Sujeto a todas las aprobaciones relevantes</w:t>
      </w:r>
    </w:p>
  </w:footnote>
  <w:footnote w:id="14">
    <w:p w14:paraId="340A17FF" w14:textId="7262A18B" w:rsidR="00436DE0" w:rsidRPr="00436DE0" w:rsidRDefault="00436DE0">
      <w:pPr>
        <w:pStyle w:val="Textonotapie"/>
        <w:rPr>
          <w:lang w:val="es-AR"/>
        </w:rPr>
      </w:pPr>
      <w:r>
        <w:rPr>
          <w:rStyle w:val="Refdenotaalpie"/>
        </w:rPr>
        <w:footnoteRef/>
      </w:r>
      <w:r w:rsidRPr="00436DE0">
        <w:rPr>
          <w:lang w:val="es-AR"/>
        </w:rPr>
        <w:t xml:space="preserve"> Sujeto a todas las aprobaciones relevantes</w:t>
      </w:r>
    </w:p>
  </w:footnote>
  <w:footnote w:id="15">
    <w:p w14:paraId="3BE700CF" w14:textId="0C6FA7A4" w:rsidR="00B303D0" w:rsidRPr="00B303D0" w:rsidRDefault="00B303D0">
      <w:pPr>
        <w:pStyle w:val="Textonotapie"/>
        <w:rPr>
          <w:lang w:val="es-AR"/>
        </w:rPr>
      </w:pPr>
      <w:r>
        <w:rPr>
          <w:rStyle w:val="Refdenotaalpie"/>
        </w:rPr>
        <w:footnoteRef/>
      </w:r>
      <w:r w:rsidRPr="00B303D0">
        <w:rPr>
          <w:lang w:val="es-AR"/>
        </w:rPr>
        <w:t xml:space="preserve"> Las cifras están sujetas a aproximación y tienen como objetivo ilustrar el crecimiento interanual</w:t>
      </w:r>
    </w:p>
  </w:footnote>
  <w:footnote w:id="16">
    <w:p w14:paraId="0E4AAFAB" w14:textId="10856BD9" w:rsidR="00C57E87" w:rsidRPr="00C57E87" w:rsidRDefault="00C57E87">
      <w:pPr>
        <w:pStyle w:val="Textonotapie"/>
        <w:rPr>
          <w:lang w:val="es-AR"/>
        </w:rPr>
      </w:pPr>
      <w:r>
        <w:rPr>
          <w:rStyle w:val="Refdenotaalpie"/>
        </w:rPr>
        <w:footnoteRef/>
      </w:r>
      <w:r w:rsidRPr="00C57E87">
        <w:rPr>
          <w:lang w:val="es-AR"/>
        </w:rPr>
        <w:t xml:space="preserve"> Las emisiones de GEI incluyen el 100% de la fuerza laboral del Grupo vinculada a fuentes de emisión bajo control operativo (88,4% medidas, +2,6 p.p. vs. FY2023, y 11,6% extrapoladas). El crecimiento del perímetro de reporte hizo necesario </w:t>
      </w:r>
      <w:proofErr w:type="spellStart"/>
      <w:r w:rsidRPr="00C57E87">
        <w:rPr>
          <w:lang w:val="es-AR"/>
        </w:rPr>
        <w:t>reexpresar</w:t>
      </w:r>
      <w:proofErr w:type="spellEnd"/>
      <w:r w:rsidRPr="00C57E87">
        <w:rPr>
          <w:lang w:val="es-AR"/>
        </w:rPr>
        <w:t xml:space="preserve"> toda la tendencia desde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429387126"/>
      <w:docPartObj>
        <w:docPartGallery w:val="Page Numbers (Top of Page)"/>
        <w:docPartUnique/>
      </w:docPartObj>
    </w:sdtPr>
    <w:sdtContent>
      <w:p w14:paraId="5B0E728A" w14:textId="489C37FE" w:rsidR="001652DC" w:rsidRDefault="001652DC" w:rsidP="00210005">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36ABC">
          <w:rPr>
            <w:rStyle w:val="Nmerodepgina"/>
            <w:noProof/>
          </w:rPr>
          <w:t>4</w:t>
        </w:r>
        <w:r>
          <w:rPr>
            <w:rStyle w:val="Nmerodepgina"/>
          </w:rPr>
          <w:fldChar w:fldCharType="end"/>
        </w:r>
      </w:p>
    </w:sdtContent>
  </w:sdt>
  <w:p w14:paraId="4F980370" w14:textId="77777777" w:rsidR="001652DC" w:rsidRDefault="001652DC" w:rsidP="00756362">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82270" w14:textId="79A3F775" w:rsidR="008300DB" w:rsidRPr="008300DB" w:rsidRDefault="007D398C" w:rsidP="008300DB">
    <w:pPr>
      <w:ind w:right="360"/>
      <w:rPr>
        <w:color w:val="C21B17" w:themeColor="accent1"/>
      </w:rPr>
    </w:pPr>
    <w:r>
      <w:rPr>
        <w:noProof/>
        <w:color w:val="C21B17" w:themeColor="accent1"/>
      </w:rPr>
      <w:drawing>
        <wp:inline distT="0" distB="0" distL="0" distR="0" wp14:anchorId="67FA7CA1" wp14:editId="38F9DEA6">
          <wp:extent cx="412862" cy="501650"/>
          <wp:effectExtent l="0" t="0" r="6350" b="0"/>
          <wp:docPr id="2170980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493" cy="512138"/>
                  </a:xfrm>
                  <a:prstGeom prst="rect">
                    <a:avLst/>
                  </a:prstGeom>
                  <a:noFill/>
                  <a:ln>
                    <a:noFill/>
                  </a:ln>
                </pic:spPr>
              </pic:pic>
            </a:graphicData>
          </a:graphic>
        </wp:inline>
      </w:drawing>
    </w:r>
    <w:r w:rsidR="001652DC" w:rsidRPr="00AF6A27">
      <w:rPr>
        <w:noProof/>
        <w:color w:val="C21B17" w:themeColor="accent1"/>
        <w:lang w:eastAsia="it-IT"/>
      </w:rPr>
      <mc:AlternateContent>
        <mc:Choice Requires="wps">
          <w:drawing>
            <wp:anchor distT="0" distB="0" distL="114300" distR="114300" simplePos="0" relativeHeight="251658247" behindDoc="0" locked="0" layoutInCell="1" allowOverlap="1" wp14:anchorId="66B91CDA" wp14:editId="4D371C8D">
              <wp:simplePos x="0" y="0"/>
              <wp:positionH relativeFrom="column">
                <wp:posOffset>-728980</wp:posOffset>
              </wp:positionH>
              <wp:positionV relativeFrom="paragraph">
                <wp:posOffset>10521315</wp:posOffset>
              </wp:positionV>
              <wp:extent cx="1819275" cy="237490"/>
              <wp:effectExtent l="0" t="0" r="9525" b="16510"/>
              <wp:wrapNone/>
              <wp:docPr id="11" name="Rettangolo 11"/>
              <wp:cNvGraphicFramePr/>
              <a:graphic xmlns:a="http://schemas.openxmlformats.org/drawingml/2006/main">
                <a:graphicData uri="http://schemas.microsoft.com/office/word/2010/wordprocessingShape">
                  <wps:wsp>
                    <wps:cNvSpPr/>
                    <wps:spPr>
                      <a:xfrm>
                        <a:off x="0" y="0"/>
                        <a:ext cx="1819275" cy="237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E145C" id="Rettangolo 11" o:spid="_x0000_s1026" style="position:absolute;margin-left:-57.4pt;margin-top:828.45pt;width:143.25pt;height:18.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" fillcolor="#c21b17 [3204]" strokecolor="#600d0b [1604]"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8C6E1" w14:textId="28CDF677" w:rsidR="00123BC8" w:rsidRDefault="0012154A">
    <w:r>
      <w:rPr>
        <w:noProof/>
      </w:rPr>
      <mc:AlternateContent>
        <mc:Choice Requires="wpg">
          <w:drawing>
            <wp:anchor distT="0" distB="0" distL="114300" distR="114300" simplePos="0" relativeHeight="251660298" behindDoc="0" locked="0" layoutInCell="1" allowOverlap="1" wp14:anchorId="0075074E" wp14:editId="711466FB">
              <wp:simplePos x="0" y="0"/>
              <wp:positionH relativeFrom="page">
                <wp:posOffset>-200660</wp:posOffset>
              </wp:positionH>
              <wp:positionV relativeFrom="paragraph">
                <wp:posOffset>-368935</wp:posOffset>
              </wp:positionV>
              <wp:extent cx="3678555" cy="1549400"/>
              <wp:effectExtent l="0" t="0" r="0" b="0"/>
              <wp:wrapSquare wrapText="bothSides"/>
              <wp:docPr id="1481196746" name="Grupo 1481196746"/>
              <wp:cNvGraphicFramePr/>
              <a:graphic xmlns:a="http://schemas.openxmlformats.org/drawingml/2006/main">
                <a:graphicData uri="http://schemas.microsoft.com/office/word/2010/wordprocessingGroup">
                  <wpg:wgp>
                    <wpg:cNvGrpSpPr/>
                    <wpg:grpSpPr>
                      <a:xfrm>
                        <a:off x="0" y="0"/>
                        <a:ext cx="3678555" cy="1549400"/>
                        <a:chOff x="3506700" y="3005300"/>
                        <a:chExt cx="3678600" cy="1549400"/>
                      </a:xfrm>
                    </wpg:grpSpPr>
                    <wpg:grpSp>
                      <wpg:cNvPr id="2135059681" name="Grupo 2135059681"/>
                      <wpg:cNvGrpSpPr/>
                      <wpg:grpSpPr>
                        <a:xfrm>
                          <a:off x="3506723" y="3005300"/>
                          <a:ext cx="3678555" cy="1549400"/>
                          <a:chOff x="3506700" y="3005300"/>
                          <a:chExt cx="3678600" cy="1549400"/>
                        </a:xfrm>
                      </wpg:grpSpPr>
                      <wps:wsp>
                        <wps:cNvPr id="985323864" name="Rectángulo 985323864"/>
                        <wps:cNvSpPr/>
                        <wps:spPr>
                          <a:xfrm>
                            <a:off x="3506700" y="3005300"/>
                            <a:ext cx="3678600" cy="1549400"/>
                          </a:xfrm>
                          <a:prstGeom prst="rect">
                            <a:avLst/>
                          </a:prstGeom>
                          <a:noFill/>
                          <a:ln>
                            <a:noFill/>
                          </a:ln>
                        </wps:spPr>
                        <wps:txbx>
                          <w:txbxContent>
                            <w:p w14:paraId="32BC23F4" w14:textId="77777777" w:rsidR="0012154A" w:rsidRDefault="0012154A" w:rsidP="0012154A">
                              <w:pPr>
                                <w:textDirection w:val="btLr"/>
                              </w:pPr>
                            </w:p>
                          </w:txbxContent>
                        </wps:txbx>
                        <wps:bodyPr spcFirstLastPara="1" wrap="square" lIns="91425" tIns="91425" rIns="91425" bIns="91425" anchor="ctr" anchorCtr="0">
                          <a:noAutofit/>
                        </wps:bodyPr>
                      </wps:wsp>
                      <wpg:grpSp>
                        <wpg:cNvPr id="1328571598" name="Grupo 1328571598"/>
                        <wpg:cNvGrpSpPr/>
                        <wpg:grpSpPr>
                          <a:xfrm>
                            <a:off x="3506723" y="3005300"/>
                            <a:ext cx="3678555" cy="1549400"/>
                            <a:chOff x="3506700" y="3005300"/>
                            <a:chExt cx="3678600" cy="1549400"/>
                          </a:xfrm>
                        </wpg:grpSpPr>
                        <wps:wsp>
                          <wps:cNvPr id="1951130373" name="Rectángulo 1951130373"/>
                          <wps:cNvSpPr/>
                          <wps:spPr>
                            <a:xfrm>
                              <a:off x="3506700" y="3005300"/>
                              <a:ext cx="3678600" cy="1549400"/>
                            </a:xfrm>
                            <a:prstGeom prst="rect">
                              <a:avLst/>
                            </a:prstGeom>
                            <a:noFill/>
                            <a:ln>
                              <a:noFill/>
                            </a:ln>
                          </wps:spPr>
                          <wps:txbx>
                            <w:txbxContent>
                              <w:p w14:paraId="2ACA7871" w14:textId="77777777" w:rsidR="0012154A" w:rsidRDefault="0012154A" w:rsidP="0012154A">
                                <w:pPr>
                                  <w:textDirection w:val="btLr"/>
                                </w:pPr>
                              </w:p>
                            </w:txbxContent>
                          </wps:txbx>
                          <wps:bodyPr spcFirstLastPara="1" wrap="square" lIns="91425" tIns="91425" rIns="91425" bIns="91425" anchor="ctr" anchorCtr="0">
                            <a:noAutofit/>
                          </wps:bodyPr>
                        </wps:wsp>
                        <wpg:grpSp>
                          <wpg:cNvPr id="1673381367" name="Grupo 1673381367"/>
                          <wpg:cNvGrpSpPr/>
                          <wpg:grpSpPr>
                            <a:xfrm>
                              <a:off x="3506723" y="3005300"/>
                              <a:ext cx="3678555" cy="1549400"/>
                              <a:chOff x="3506700" y="3005300"/>
                              <a:chExt cx="3678600" cy="1549400"/>
                            </a:xfrm>
                          </wpg:grpSpPr>
                          <wps:wsp>
                            <wps:cNvPr id="1532439215" name="Rectángulo 1532439215"/>
                            <wps:cNvSpPr/>
                            <wps:spPr>
                              <a:xfrm>
                                <a:off x="3506700" y="3005300"/>
                                <a:ext cx="3678600" cy="1549400"/>
                              </a:xfrm>
                              <a:prstGeom prst="rect">
                                <a:avLst/>
                              </a:prstGeom>
                              <a:noFill/>
                              <a:ln>
                                <a:noFill/>
                              </a:ln>
                            </wps:spPr>
                            <wps:txbx>
                              <w:txbxContent>
                                <w:p w14:paraId="7BB6E2B4" w14:textId="77777777" w:rsidR="0012154A" w:rsidRDefault="0012154A" w:rsidP="0012154A">
                                  <w:pPr>
                                    <w:textDirection w:val="btLr"/>
                                  </w:pPr>
                                </w:p>
                              </w:txbxContent>
                            </wps:txbx>
                            <wps:bodyPr spcFirstLastPara="1" wrap="square" lIns="91425" tIns="91425" rIns="91425" bIns="91425" anchor="ctr" anchorCtr="0">
                              <a:noAutofit/>
                            </wps:bodyPr>
                          </wps:wsp>
                          <wpg:grpSp>
                            <wpg:cNvPr id="556439156" name="Grupo 556439156"/>
                            <wpg:cNvGrpSpPr/>
                            <wpg:grpSpPr>
                              <a:xfrm>
                                <a:off x="3506723" y="3005300"/>
                                <a:ext cx="3678555" cy="1549400"/>
                                <a:chOff x="0" y="0"/>
                                <a:chExt cx="3678555" cy="1549400"/>
                              </a:xfrm>
                            </wpg:grpSpPr>
                            <wps:wsp>
                              <wps:cNvPr id="2069245968" name="Rectángulo 2069245968"/>
                              <wps:cNvSpPr/>
                              <wps:spPr>
                                <a:xfrm>
                                  <a:off x="0" y="0"/>
                                  <a:ext cx="3678550" cy="1549400"/>
                                </a:xfrm>
                                <a:prstGeom prst="rect">
                                  <a:avLst/>
                                </a:prstGeom>
                                <a:noFill/>
                                <a:ln>
                                  <a:noFill/>
                                </a:ln>
                              </wps:spPr>
                              <wps:txbx>
                                <w:txbxContent>
                                  <w:p w14:paraId="2DE53666" w14:textId="77777777" w:rsidR="0012154A" w:rsidRDefault="0012154A" w:rsidP="0012154A">
                                    <w:pP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1">
                                  <a:alphaModFix/>
                                </a:blip>
                                <a:srcRect/>
                                <a:stretch/>
                              </pic:blipFill>
                              <pic:spPr>
                                <a:xfrm>
                                  <a:off x="0" y="0"/>
                                  <a:ext cx="3678555" cy="1549400"/>
                                </a:xfrm>
                                <a:prstGeom prst="rect">
                                  <a:avLst/>
                                </a:prstGeom>
                                <a:noFill/>
                                <a:ln>
                                  <a:noFill/>
                                </a:ln>
                              </pic:spPr>
                            </pic:pic>
                            <pic:pic xmlns:pic="http://schemas.openxmlformats.org/drawingml/2006/picture">
                              <pic:nvPicPr>
                                <pic:cNvPr id="19" name="Shape 19"/>
                                <pic:cNvPicPr preferRelativeResize="0"/>
                              </pic:nvPicPr>
                              <pic:blipFill rotWithShape="1">
                                <a:blip r:embed="rId2">
                                  <a:alphaModFix/>
                                </a:blip>
                                <a:srcRect/>
                                <a:stretch/>
                              </pic:blipFill>
                              <pic:spPr>
                                <a:xfrm>
                                  <a:off x="760984" y="254752"/>
                                  <a:ext cx="685800" cy="826008"/>
                                </a:xfrm>
                                <a:prstGeom prst="rect">
                                  <a:avLst/>
                                </a:prstGeom>
                                <a:noFill/>
                                <a:ln>
                                  <a:noFill/>
                                </a:ln>
                              </pic:spPr>
                            </pic:pic>
                          </wpg:grpSp>
                        </wpg:grpSp>
                      </wpg:grpSp>
                    </wpg:grpSp>
                  </wpg:wgp>
                </a:graphicData>
              </a:graphic>
            </wp:anchor>
          </w:drawing>
        </mc:Choice>
        <mc:Fallback>
          <w:pict>
            <v:group w14:anchorId="0075074E" id="Grupo 1481196746" o:spid="_x0000_s1026" style="position:absolute;left:0;text-align:left;margin-left:-15.8pt;margin-top:-29.05pt;width:289.65pt;height:122pt;z-index:251660298;mso-position-horizontal-relative:page" coordorigin="35067,30053" coordsize="36786,154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Mooor8kP9E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XGaMnpRWp4d8O6n4s1yz0fR7GbUtUu5&#10;BFBa267ndj6D9SegAJNVFOTsjGpUhSg6k3ZLdmfDC1xIkUaM8jkKqKMliegA7mvvn9kr9gdvMsfG&#10;HxNtOBtmsvDso79Ve4H6iP8A76/u16h+yb+xDpnwfjtfE3i2ODV/GTAPEhAeHTj6R5+8/q/b+H1P&#10;1mo/KvsMvypQtVrrXov8z+beMPECWK5sBlMrR2lNbvyXZee7GwwpbxqkaqiKAFVRgAdgBU9FFfUn&#10;4Re+rCiiigQUUUUAFFFFABRRRQAUUUUAFFFFABRRRQAUUUUAFFFFABRRRQAUUUUAfz80UUV+SH+i&#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&#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">
              <v:group id="Grupo 2135059681" o:spid="_x0000_s1027" style="position:absolute;left:35067;top:30053;width:36785;height:15494" coordorigin="35067,30053" coordsize="36786,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">
                <v:rect id="Rectángulo 985323864" o:spid="_x0000_s1028" style="position:absolute;left:35067;top:30053;width:36786;height:1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" filled="f" stroked="f">
                  <v:textbox inset="2.53958mm,2.53958mm,2.53958mm,2.53958mm">
                    <w:txbxContent>
                      <w:p w14:paraId="32BC23F4" w14:textId="77777777" w:rsidR="0012154A" w:rsidRDefault="0012154A" w:rsidP="0012154A">
                        <w:pPr>
                          <w:textDirection w:val="btLr"/>
                        </w:pPr>
                      </w:p>
                    </w:txbxContent>
                  </v:textbox>
                </v:rect>
                <v:group id="Grupo 1328571598" o:spid="_x0000_s1029" style="position:absolute;left:35067;top:30053;width:36785;height:15494" coordorigin="35067,30053" coordsize="36786,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">
                  <v:rect id="Rectángulo 1951130373" o:spid="_x0000_s1030" style="position:absolute;left:35067;top:30053;width:36786;height:1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" filled="f" stroked="f">
                    <v:textbox inset="2.53958mm,2.53958mm,2.53958mm,2.53958mm">
                      <w:txbxContent>
                        <w:p w14:paraId="2ACA7871" w14:textId="77777777" w:rsidR="0012154A" w:rsidRDefault="0012154A" w:rsidP="0012154A">
                          <w:pPr>
                            <w:textDirection w:val="btLr"/>
                          </w:pPr>
                        </w:p>
                      </w:txbxContent>
                    </v:textbox>
                  </v:rect>
                  <v:group id="Grupo 1673381367" o:spid="_x0000_s1031" style="position:absolute;left:35067;top:30053;width:36785;height:15494" coordorigin="35067,30053" coordsize="36786,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">
                    <v:rect id="Rectángulo 1532439215" o:spid="_x0000_s1032" style="position:absolute;left:35067;top:30053;width:36786;height:1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" filled="f" stroked="f">
                      <v:textbox inset="2.53958mm,2.53958mm,2.53958mm,2.53958mm">
                        <w:txbxContent>
                          <w:p w14:paraId="7BB6E2B4" w14:textId="77777777" w:rsidR="0012154A" w:rsidRDefault="0012154A" w:rsidP="0012154A">
                            <w:pPr>
                              <w:textDirection w:val="btLr"/>
                            </w:pPr>
                          </w:p>
                        </w:txbxContent>
                      </v:textbox>
                    </v:rect>
                    <v:group id="Grupo 556439156" o:spid="_x0000_s1033" style="position:absolute;left:35067;top:30053;width:36785;height:15494" coordsize="36785,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">
                      <v:rect id="Rectángulo 2069245968" o:spid="_x0000_s1034" style="position:absolute;width:36785;height:1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" filled="f" stroked="f">
                        <v:textbox inset="2.53958mm,2.53958mm,2.53958mm,2.53958mm">
                          <w:txbxContent>
                            <w:p w14:paraId="2DE53666" w14:textId="77777777" w:rsidR="0012154A" w:rsidRDefault="0012154A" w:rsidP="0012154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35" type="#_x0000_t75" style="position:absolute;width:36785;height:154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">
                        <v:imagedata r:id="rId3" o:title=""/>
                      </v:shape>
                      <v:shape id="Shape 19" o:spid="_x0000_s1036" type="#_x0000_t75" style="position:absolute;left:7609;top:2547;width:6858;height:82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">
                        <v:imagedata r:id="rId4" o:title=""/>
                      </v:shape>
                    </v:group>
                  </v:group>
                </v:group>
              </v:group>
              <w10:wrap type="square" anchorx="page"/>
            </v:group>
          </w:pict>
        </mc:Fallback>
      </mc:AlternateContent>
    </w:r>
    <w:r w:rsidR="00123BC8" w:rsidRPr="00756362">
      <w:rPr>
        <w:noProof/>
        <w:color w:val="C21B17" w:themeColor="accent1"/>
      </w:rPr>
      <w:drawing>
        <wp:anchor distT="0" distB="0" distL="114300" distR="114300" simplePos="0" relativeHeight="251658248" behindDoc="0" locked="0" layoutInCell="1" allowOverlap="1" wp14:anchorId="66972BFC" wp14:editId="60F677D1">
          <wp:simplePos x="0" y="0"/>
          <wp:positionH relativeFrom="column">
            <wp:posOffset>28575</wp:posOffset>
          </wp:positionH>
          <wp:positionV relativeFrom="paragraph">
            <wp:posOffset>32039</wp:posOffset>
          </wp:positionV>
          <wp:extent cx="859790" cy="719455"/>
          <wp:effectExtent l="0" t="0" r="3810" b="4445"/>
          <wp:wrapNone/>
          <wp:docPr id="16099323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pic:cNvPicPr/>
                </pic:nvPicPr>
                <pic:blipFill>
                  <a:blip r:embed="rId5">
                    <a:extLst>
                      <a:ext uri="{28A0092B-C50C-407E-A947-70E740481C1C}">
                        <a14:useLocalDpi xmlns:a14="http://schemas.microsoft.com/office/drawing/2010/main" val="0"/>
                      </a:ext>
                    </a:extLst>
                  </a:blip>
                  <a:stretch>
                    <a:fillRect/>
                  </a:stretch>
                </pic:blipFill>
                <pic:spPr>
                  <a:xfrm>
                    <a:off x="0" y="0"/>
                    <a:ext cx="859790" cy="719455"/>
                  </a:xfrm>
                  <a:prstGeom prst="rect">
                    <a:avLst/>
                  </a:prstGeom>
                </pic:spPr>
              </pic:pic>
            </a:graphicData>
          </a:graphic>
          <wp14:sizeRelH relativeFrom="page">
            <wp14:pctWidth>0</wp14:pctWidth>
          </wp14:sizeRelH>
          <wp14:sizeRelV relativeFrom="page">
            <wp14:pctHeight>0</wp14:pctHeight>
          </wp14:sizeRelV>
        </wp:anchor>
      </w:drawing>
    </w:r>
  </w:p>
  <w:p w14:paraId="21D786EA" w14:textId="645F752E" w:rsidR="00123BC8" w:rsidRDefault="00123BC8"/>
  <w:p w14:paraId="3D1F4C10" w14:textId="77777777" w:rsidR="00123BC8" w:rsidRDefault="00123BC8"/>
  <w:p w14:paraId="614869B7" w14:textId="27ACDD34" w:rsidR="001652DC" w:rsidRDefault="001652DC"/>
  <w:p w14:paraId="2DAEE916" w14:textId="4CF78BAE" w:rsidR="009C0684" w:rsidRDefault="009C0684"/>
  <w:p w14:paraId="4FB6787D" w14:textId="26392AEE" w:rsidR="009C0684" w:rsidRDefault="009C0684"/>
  <w:p w14:paraId="7A30A5ED" w14:textId="0AF9017C" w:rsidR="009C0684" w:rsidRDefault="009C0684"/>
  <w:p w14:paraId="0DBAB509" w14:textId="77777777" w:rsidR="009C0684" w:rsidRDefault="009C06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198"/>
    <w:multiLevelType w:val="hybridMultilevel"/>
    <w:tmpl w:val="E7A2DFA0"/>
    <w:lvl w:ilvl="0" w:tplc="B9A223CE">
      <w:numFmt w:val="bullet"/>
      <w:lvlText w:val="•"/>
      <w:lvlJc w:val="left"/>
      <w:pPr>
        <w:ind w:left="720" w:hanging="360"/>
      </w:pPr>
      <w:rPr>
        <w:rFonts w:ascii="Aptos" w:eastAsiaTheme="minorHAnsi" w:hAnsi="Aptos" w:cstheme="maj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44761B"/>
    <w:multiLevelType w:val="hybridMultilevel"/>
    <w:tmpl w:val="67521E32"/>
    <w:lvl w:ilvl="0" w:tplc="73D09076">
      <w:start w:val="1"/>
      <w:numFmt w:val="bullet"/>
      <w:lvlText w:val=""/>
      <w:lvlJc w:val="left"/>
      <w:pPr>
        <w:ind w:left="720" w:hanging="360"/>
      </w:pPr>
      <w:rPr>
        <w:rFonts w:ascii="Symbol" w:hAnsi="Symbol" w:hint="default"/>
        <w:color w:val="C00000"/>
        <w:u w:color="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CCE7693"/>
    <w:multiLevelType w:val="hybridMultilevel"/>
    <w:tmpl w:val="E772C1FA"/>
    <w:lvl w:ilvl="0" w:tplc="73D09076">
      <w:start w:val="1"/>
      <w:numFmt w:val="bullet"/>
      <w:lvlText w:val=""/>
      <w:lvlJc w:val="left"/>
      <w:pPr>
        <w:ind w:left="720" w:hanging="360"/>
      </w:pPr>
      <w:rPr>
        <w:rFonts w:ascii="Symbol" w:hAnsi="Symbol" w:hint="default"/>
        <w:color w:val="C00000"/>
        <w:u w:color="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1DC641D"/>
    <w:multiLevelType w:val="multilevel"/>
    <w:tmpl w:val="71D09F04"/>
    <w:lvl w:ilvl="0">
      <w:start w:val="1"/>
      <w:numFmt w:val="bullet"/>
      <w:lvlText w:val=""/>
      <w:lvlJc w:val="left"/>
      <w:pPr>
        <w:tabs>
          <w:tab w:val="num" w:pos="720"/>
        </w:tabs>
        <w:ind w:left="720" w:hanging="360"/>
      </w:pPr>
      <w:rPr>
        <w:rFonts w:ascii="Symbol" w:hAnsi="Symbol" w:hint="default"/>
        <w:color w:val="959595" w:themeColor="accent6"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E1399"/>
    <w:multiLevelType w:val="hybridMultilevel"/>
    <w:tmpl w:val="F92478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5C55E53"/>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425B62"/>
    <w:multiLevelType w:val="hybridMultilevel"/>
    <w:tmpl w:val="EAF2FA6A"/>
    <w:lvl w:ilvl="0" w:tplc="73D09076">
      <w:start w:val="1"/>
      <w:numFmt w:val="bullet"/>
      <w:lvlText w:val=""/>
      <w:lvlJc w:val="left"/>
      <w:pPr>
        <w:ind w:left="720" w:hanging="360"/>
      </w:pPr>
      <w:rPr>
        <w:rFonts w:ascii="Symbol" w:hAnsi="Symbol" w:hint="default"/>
        <w:color w:val="C00000"/>
        <w:u w:color="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9D11921"/>
    <w:multiLevelType w:val="hybridMultilevel"/>
    <w:tmpl w:val="88D260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3453418"/>
    <w:multiLevelType w:val="hybridMultilevel"/>
    <w:tmpl w:val="43F0CE1C"/>
    <w:lvl w:ilvl="0" w:tplc="6D5CDF98">
      <w:numFmt w:val="bullet"/>
      <w:lvlText w:val="•"/>
      <w:lvlJc w:val="left"/>
      <w:pPr>
        <w:ind w:left="720" w:hanging="360"/>
      </w:pPr>
      <w:rPr>
        <w:rFonts w:ascii="Aptos" w:eastAsiaTheme="minorHAnsi" w:hAnsi="Aptos" w:cstheme="maj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6781649"/>
    <w:multiLevelType w:val="hybridMultilevel"/>
    <w:tmpl w:val="594C4BA0"/>
    <w:lvl w:ilvl="0" w:tplc="73D09076">
      <w:start w:val="1"/>
      <w:numFmt w:val="bullet"/>
      <w:lvlText w:val=""/>
      <w:lvlJc w:val="left"/>
      <w:pPr>
        <w:ind w:left="720" w:hanging="360"/>
      </w:pPr>
      <w:rPr>
        <w:rFonts w:ascii="Symbol" w:hAnsi="Symbol" w:hint="default"/>
        <w:color w:val="C00000"/>
        <w:u w:color="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77328BD"/>
    <w:multiLevelType w:val="hybridMultilevel"/>
    <w:tmpl w:val="24566284"/>
    <w:lvl w:ilvl="0" w:tplc="73D09076">
      <w:start w:val="1"/>
      <w:numFmt w:val="bullet"/>
      <w:lvlText w:val=""/>
      <w:lvlJc w:val="left"/>
      <w:pPr>
        <w:ind w:left="720" w:hanging="360"/>
      </w:pPr>
      <w:rPr>
        <w:rFonts w:ascii="Symbol" w:hAnsi="Symbol" w:hint="default"/>
        <w:color w:val="C00000"/>
        <w:u w:color="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E7B58F7"/>
    <w:multiLevelType w:val="hybridMultilevel"/>
    <w:tmpl w:val="9D64898E"/>
    <w:lvl w:ilvl="0" w:tplc="73D09076">
      <w:start w:val="1"/>
      <w:numFmt w:val="bullet"/>
      <w:lvlText w:val=""/>
      <w:lvlJc w:val="left"/>
      <w:pPr>
        <w:ind w:left="720" w:hanging="360"/>
      </w:pPr>
      <w:rPr>
        <w:rFonts w:ascii="Symbol" w:hAnsi="Symbol" w:hint="default"/>
        <w:color w:val="C00000"/>
        <w:u w:color="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ED777EE"/>
    <w:multiLevelType w:val="hybridMultilevel"/>
    <w:tmpl w:val="87507D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0720F31"/>
    <w:multiLevelType w:val="multilevel"/>
    <w:tmpl w:val="1D8A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96CFA"/>
    <w:multiLevelType w:val="hybridMultilevel"/>
    <w:tmpl w:val="A0DA5370"/>
    <w:lvl w:ilvl="0" w:tplc="9678F25E">
      <w:numFmt w:val="bullet"/>
      <w:lvlText w:val="•"/>
      <w:lvlJc w:val="left"/>
      <w:pPr>
        <w:ind w:left="720" w:hanging="360"/>
      </w:pPr>
      <w:rPr>
        <w:rFonts w:ascii="Aptos" w:eastAsiaTheme="minorHAnsi" w:hAnsi="Aptos" w:cstheme="maj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2B5546B"/>
    <w:multiLevelType w:val="hybridMultilevel"/>
    <w:tmpl w:val="F8B83642"/>
    <w:lvl w:ilvl="0" w:tplc="73D09076">
      <w:start w:val="1"/>
      <w:numFmt w:val="bullet"/>
      <w:lvlText w:val=""/>
      <w:lvlJc w:val="left"/>
      <w:pPr>
        <w:ind w:left="720" w:hanging="360"/>
      </w:pPr>
      <w:rPr>
        <w:rFonts w:ascii="Symbol" w:hAnsi="Symbol" w:hint="default"/>
        <w:color w:val="C00000"/>
        <w:u w:color="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1E73C6"/>
    <w:multiLevelType w:val="hybridMultilevel"/>
    <w:tmpl w:val="8C5083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460B5C1F"/>
    <w:multiLevelType w:val="multilevel"/>
    <w:tmpl w:val="ABC8B6EA"/>
    <w:styleLink w:val="Elencocorrent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9CA2084"/>
    <w:multiLevelType w:val="hybridMultilevel"/>
    <w:tmpl w:val="EE281AE8"/>
    <w:lvl w:ilvl="0" w:tplc="D574463C">
      <w:numFmt w:val="bullet"/>
      <w:lvlText w:val="•"/>
      <w:lvlJc w:val="left"/>
      <w:pPr>
        <w:ind w:left="720" w:hanging="360"/>
      </w:pPr>
      <w:rPr>
        <w:rFonts w:ascii="Aptos" w:eastAsiaTheme="minorHAnsi" w:hAnsi="Aptos" w:cstheme="maj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B0246FB"/>
    <w:multiLevelType w:val="hybridMultilevel"/>
    <w:tmpl w:val="B39E6228"/>
    <w:lvl w:ilvl="0" w:tplc="73D09076">
      <w:start w:val="1"/>
      <w:numFmt w:val="bullet"/>
      <w:lvlText w:val=""/>
      <w:lvlJc w:val="left"/>
      <w:pPr>
        <w:ind w:left="720" w:hanging="360"/>
      </w:pPr>
      <w:rPr>
        <w:rFonts w:ascii="Symbol" w:hAnsi="Symbol" w:hint="default"/>
        <w:color w:val="C00000"/>
        <w:u w:color="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D700B0E"/>
    <w:multiLevelType w:val="multilevel"/>
    <w:tmpl w:val="9062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170CEF"/>
    <w:multiLevelType w:val="multilevel"/>
    <w:tmpl w:val="E38E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33241C"/>
    <w:multiLevelType w:val="hybridMultilevel"/>
    <w:tmpl w:val="ECDA2F7C"/>
    <w:lvl w:ilvl="0" w:tplc="73D09076">
      <w:start w:val="1"/>
      <w:numFmt w:val="bullet"/>
      <w:lvlText w:val=""/>
      <w:lvlJc w:val="left"/>
      <w:pPr>
        <w:ind w:left="720" w:hanging="360"/>
      </w:pPr>
      <w:rPr>
        <w:rFonts w:ascii="Symbol" w:hAnsi="Symbol" w:hint="default"/>
        <w:color w:val="C00000"/>
        <w:u w:color="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3AF22CF"/>
    <w:multiLevelType w:val="hybridMultilevel"/>
    <w:tmpl w:val="CE484404"/>
    <w:lvl w:ilvl="0" w:tplc="A4583698">
      <w:numFmt w:val="bullet"/>
      <w:lvlText w:val="•"/>
      <w:lvlJc w:val="left"/>
      <w:pPr>
        <w:ind w:left="720" w:hanging="360"/>
      </w:pPr>
      <w:rPr>
        <w:rFonts w:ascii="Aptos" w:eastAsiaTheme="minorHAnsi" w:hAnsi="Aptos" w:cstheme="maj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C212631"/>
    <w:multiLevelType w:val="hybridMultilevel"/>
    <w:tmpl w:val="D9C04BC4"/>
    <w:lvl w:ilvl="0" w:tplc="73D09076">
      <w:start w:val="1"/>
      <w:numFmt w:val="bullet"/>
      <w:lvlText w:val=""/>
      <w:lvlJc w:val="left"/>
      <w:pPr>
        <w:ind w:left="720" w:hanging="360"/>
      </w:pPr>
      <w:rPr>
        <w:rFonts w:ascii="Symbol" w:hAnsi="Symbol" w:hint="default"/>
        <w:color w:val="C00000"/>
        <w:u w:color="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07E0915"/>
    <w:multiLevelType w:val="hybridMultilevel"/>
    <w:tmpl w:val="179C2658"/>
    <w:lvl w:ilvl="0" w:tplc="73D09076">
      <w:start w:val="1"/>
      <w:numFmt w:val="bullet"/>
      <w:lvlText w:val=""/>
      <w:lvlJc w:val="left"/>
      <w:pPr>
        <w:ind w:left="720" w:hanging="360"/>
      </w:pPr>
      <w:rPr>
        <w:rFonts w:ascii="Symbol" w:hAnsi="Symbol" w:hint="default"/>
        <w:color w:val="C00000"/>
        <w:u w:color="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662E44DD"/>
    <w:multiLevelType w:val="hybridMultilevel"/>
    <w:tmpl w:val="324CFD60"/>
    <w:lvl w:ilvl="0" w:tplc="73D09076">
      <w:start w:val="1"/>
      <w:numFmt w:val="bullet"/>
      <w:lvlText w:val=""/>
      <w:lvlJc w:val="left"/>
      <w:pPr>
        <w:ind w:left="360" w:hanging="360"/>
      </w:pPr>
      <w:rPr>
        <w:rFonts w:ascii="Symbol" w:hAnsi="Symbol" w:hint="default"/>
        <w:color w:val="C00000"/>
        <w:u w:color="C00000"/>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7" w15:restartNumberingAfterBreak="0">
    <w:nsid w:val="66F179F5"/>
    <w:multiLevelType w:val="hybridMultilevel"/>
    <w:tmpl w:val="DEBEA2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898563F"/>
    <w:multiLevelType w:val="hybridMultilevel"/>
    <w:tmpl w:val="D3EA3474"/>
    <w:lvl w:ilvl="0" w:tplc="73D09076">
      <w:start w:val="1"/>
      <w:numFmt w:val="bullet"/>
      <w:lvlText w:val=""/>
      <w:lvlJc w:val="left"/>
      <w:pPr>
        <w:ind w:left="720" w:hanging="360"/>
      </w:pPr>
      <w:rPr>
        <w:rFonts w:ascii="Symbol" w:hAnsi="Symbol" w:hint="default"/>
        <w:color w:val="C00000"/>
        <w:u w:color="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6A2B45CF"/>
    <w:multiLevelType w:val="hybridMultilevel"/>
    <w:tmpl w:val="A210C3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E24229A"/>
    <w:multiLevelType w:val="hybridMultilevel"/>
    <w:tmpl w:val="B00402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70442185"/>
    <w:multiLevelType w:val="multilevel"/>
    <w:tmpl w:val="3718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9A1DD5"/>
    <w:multiLevelType w:val="hybridMultilevel"/>
    <w:tmpl w:val="79A644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7A2B0EF3"/>
    <w:multiLevelType w:val="hybridMultilevel"/>
    <w:tmpl w:val="48A8EB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98861384">
    <w:abstractNumId w:val="5"/>
  </w:num>
  <w:num w:numId="2" w16cid:durableId="1231307856">
    <w:abstractNumId w:val="17"/>
  </w:num>
  <w:num w:numId="3" w16cid:durableId="105657756">
    <w:abstractNumId w:val="20"/>
  </w:num>
  <w:num w:numId="4" w16cid:durableId="992221097">
    <w:abstractNumId w:val="30"/>
  </w:num>
  <w:num w:numId="5" w16cid:durableId="1450121755">
    <w:abstractNumId w:val="21"/>
  </w:num>
  <w:num w:numId="6" w16cid:durableId="796996102">
    <w:abstractNumId w:val="31"/>
  </w:num>
  <w:num w:numId="7" w16cid:durableId="869148407">
    <w:abstractNumId w:val="13"/>
  </w:num>
  <w:num w:numId="8" w16cid:durableId="60325670">
    <w:abstractNumId w:val="3"/>
  </w:num>
  <w:num w:numId="9" w16cid:durableId="450781523">
    <w:abstractNumId w:val="33"/>
  </w:num>
  <w:num w:numId="10" w16cid:durableId="1520974051">
    <w:abstractNumId w:val="2"/>
  </w:num>
  <w:num w:numId="11" w16cid:durableId="1218398371">
    <w:abstractNumId w:val="29"/>
  </w:num>
  <w:num w:numId="12" w16cid:durableId="1301883379">
    <w:abstractNumId w:val="7"/>
  </w:num>
  <w:num w:numId="13" w16cid:durableId="1147405438">
    <w:abstractNumId w:val="4"/>
  </w:num>
  <w:num w:numId="14" w16cid:durableId="2123379753">
    <w:abstractNumId w:val="12"/>
  </w:num>
  <w:num w:numId="15" w16cid:durableId="1996757833">
    <w:abstractNumId w:val="32"/>
  </w:num>
  <w:num w:numId="16" w16cid:durableId="1341540135">
    <w:abstractNumId w:val="27"/>
  </w:num>
  <w:num w:numId="17" w16cid:durableId="1373727091">
    <w:abstractNumId w:val="9"/>
  </w:num>
  <w:num w:numId="18" w16cid:durableId="475954182">
    <w:abstractNumId w:val="14"/>
  </w:num>
  <w:num w:numId="19" w16cid:durableId="1351951056">
    <w:abstractNumId w:val="16"/>
  </w:num>
  <w:num w:numId="20" w16cid:durableId="1451823967">
    <w:abstractNumId w:val="24"/>
  </w:num>
  <w:num w:numId="21" w16cid:durableId="577447760">
    <w:abstractNumId w:val="23"/>
  </w:num>
  <w:num w:numId="22" w16cid:durableId="1934194431">
    <w:abstractNumId w:val="28"/>
  </w:num>
  <w:num w:numId="23" w16cid:durableId="677661085">
    <w:abstractNumId w:val="0"/>
  </w:num>
  <w:num w:numId="24" w16cid:durableId="395780184">
    <w:abstractNumId w:val="6"/>
  </w:num>
  <w:num w:numId="25" w16cid:durableId="434518637">
    <w:abstractNumId w:val="8"/>
  </w:num>
  <w:num w:numId="26" w16cid:durableId="1953710658">
    <w:abstractNumId w:val="11"/>
  </w:num>
  <w:num w:numId="27" w16cid:durableId="78605495">
    <w:abstractNumId w:val="18"/>
  </w:num>
  <w:num w:numId="28" w16cid:durableId="1938979724">
    <w:abstractNumId w:val="1"/>
  </w:num>
  <w:num w:numId="29" w16cid:durableId="1258635099">
    <w:abstractNumId w:val="19"/>
  </w:num>
  <w:num w:numId="30" w16cid:durableId="1156646474">
    <w:abstractNumId w:val="26"/>
  </w:num>
  <w:num w:numId="31" w16cid:durableId="2080781727">
    <w:abstractNumId w:val="22"/>
  </w:num>
  <w:num w:numId="32" w16cid:durableId="1629048914">
    <w:abstractNumId w:val="10"/>
  </w:num>
  <w:num w:numId="33" w16cid:durableId="1739208316">
    <w:abstractNumId w:val="25"/>
  </w:num>
  <w:num w:numId="34" w16cid:durableId="1329602147">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AR"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p99QLto5+aoAOXRyPCNgthhCIftopm1JwC8f0jxbuHuNvDFH4NldLZ6wkFtmnlr15znuRP+LgFMUsMYv9nUOnQ==" w:salt="hea+L85w2Yh5wfVtMeG7WA=="/>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1A4B23"/>
    <w:rsid w:val="00000619"/>
    <w:rsid w:val="00000DC6"/>
    <w:rsid w:val="00002675"/>
    <w:rsid w:val="00003504"/>
    <w:rsid w:val="000052DD"/>
    <w:rsid w:val="0000582D"/>
    <w:rsid w:val="00005981"/>
    <w:rsid w:val="000066F7"/>
    <w:rsid w:val="000068E2"/>
    <w:rsid w:val="00006AD9"/>
    <w:rsid w:val="00006C70"/>
    <w:rsid w:val="00007A04"/>
    <w:rsid w:val="000101E7"/>
    <w:rsid w:val="0001070E"/>
    <w:rsid w:val="00010C81"/>
    <w:rsid w:val="00011DB3"/>
    <w:rsid w:val="000121C5"/>
    <w:rsid w:val="00012226"/>
    <w:rsid w:val="00012252"/>
    <w:rsid w:val="00012DB8"/>
    <w:rsid w:val="00013025"/>
    <w:rsid w:val="00013334"/>
    <w:rsid w:val="0001385C"/>
    <w:rsid w:val="0001390F"/>
    <w:rsid w:val="00013D1F"/>
    <w:rsid w:val="00013E18"/>
    <w:rsid w:val="00014701"/>
    <w:rsid w:val="0001483D"/>
    <w:rsid w:val="000151A5"/>
    <w:rsid w:val="000151AF"/>
    <w:rsid w:val="000151E2"/>
    <w:rsid w:val="000154CB"/>
    <w:rsid w:val="00015664"/>
    <w:rsid w:val="00015AFB"/>
    <w:rsid w:val="00015B77"/>
    <w:rsid w:val="000166E5"/>
    <w:rsid w:val="00016C51"/>
    <w:rsid w:val="000172FA"/>
    <w:rsid w:val="0001759D"/>
    <w:rsid w:val="0001788A"/>
    <w:rsid w:val="00017A3F"/>
    <w:rsid w:val="00020EE4"/>
    <w:rsid w:val="00021DC5"/>
    <w:rsid w:val="000234D9"/>
    <w:rsid w:val="00023A1B"/>
    <w:rsid w:val="00023CA0"/>
    <w:rsid w:val="0002483F"/>
    <w:rsid w:val="00025018"/>
    <w:rsid w:val="00025594"/>
    <w:rsid w:val="00025B43"/>
    <w:rsid w:val="000266E9"/>
    <w:rsid w:val="000269D2"/>
    <w:rsid w:val="00026BB4"/>
    <w:rsid w:val="00026D34"/>
    <w:rsid w:val="00026D6D"/>
    <w:rsid w:val="000270D6"/>
    <w:rsid w:val="00027EC7"/>
    <w:rsid w:val="00027FCA"/>
    <w:rsid w:val="00030546"/>
    <w:rsid w:val="00030F54"/>
    <w:rsid w:val="00031326"/>
    <w:rsid w:val="00031687"/>
    <w:rsid w:val="000316D2"/>
    <w:rsid w:val="00031947"/>
    <w:rsid w:val="00031E37"/>
    <w:rsid w:val="00031E7D"/>
    <w:rsid w:val="00031E9B"/>
    <w:rsid w:val="00032743"/>
    <w:rsid w:val="0003299C"/>
    <w:rsid w:val="00032CED"/>
    <w:rsid w:val="00033231"/>
    <w:rsid w:val="000365F3"/>
    <w:rsid w:val="00037711"/>
    <w:rsid w:val="000379C4"/>
    <w:rsid w:val="00037E09"/>
    <w:rsid w:val="0004066E"/>
    <w:rsid w:val="000411E6"/>
    <w:rsid w:val="000423D2"/>
    <w:rsid w:val="00042B3D"/>
    <w:rsid w:val="00042C27"/>
    <w:rsid w:val="00044AC8"/>
    <w:rsid w:val="00044ADA"/>
    <w:rsid w:val="0004571B"/>
    <w:rsid w:val="00045D37"/>
    <w:rsid w:val="00046036"/>
    <w:rsid w:val="00046C6A"/>
    <w:rsid w:val="00047116"/>
    <w:rsid w:val="0004730A"/>
    <w:rsid w:val="0004790A"/>
    <w:rsid w:val="00050077"/>
    <w:rsid w:val="000505CB"/>
    <w:rsid w:val="000507C6"/>
    <w:rsid w:val="00050922"/>
    <w:rsid w:val="00050F9A"/>
    <w:rsid w:val="000511EB"/>
    <w:rsid w:val="00051621"/>
    <w:rsid w:val="00051AB0"/>
    <w:rsid w:val="00051E62"/>
    <w:rsid w:val="00051F05"/>
    <w:rsid w:val="000524A7"/>
    <w:rsid w:val="00052CD1"/>
    <w:rsid w:val="00053404"/>
    <w:rsid w:val="0005350B"/>
    <w:rsid w:val="00053DE8"/>
    <w:rsid w:val="00054D0D"/>
    <w:rsid w:val="00055D1E"/>
    <w:rsid w:val="000560E1"/>
    <w:rsid w:val="000561A7"/>
    <w:rsid w:val="00056EDD"/>
    <w:rsid w:val="000572D8"/>
    <w:rsid w:val="00057B6B"/>
    <w:rsid w:val="00057D53"/>
    <w:rsid w:val="00057E4C"/>
    <w:rsid w:val="000620A1"/>
    <w:rsid w:val="000626AD"/>
    <w:rsid w:val="00062961"/>
    <w:rsid w:val="00062C36"/>
    <w:rsid w:val="000633DC"/>
    <w:rsid w:val="00063780"/>
    <w:rsid w:val="00063990"/>
    <w:rsid w:val="00064744"/>
    <w:rsid w:val="00064E7D"/>
    <w:rsid w:val="0006535C"/>
    <w:rsid w:val="00066DAC"/>
    <w:rsid w:val="0006702C"/>
    <w:rsid w:val="00067321"/>
    <w:rsid w:val="0007002F"/>
    <w:rsid w:val="00070308"/>
    <w:rsid w:val="00070532"/>
    <w:rsid w:val="000706F8"/>
    <w:rsid w:val="00070BF2"/>
    <w:rsid w:val="00070C9F"/>
    <w:rsid w:val="00071280"/>
    <w:rsid w:val="000718C0"/>
    <w:rsid w:val="00071CEF"/>
    <w:rsid w:val="00071DD3"/>
    <w:rsid w:val="000720BC"/>
    <w:rsid w:val="000723A0"/>
    <w:rsid w:val="0007254A"/>
    <w:rsid w:val="00072DC1"/>
    <w:rsid w:val="00074295"/>
    <w:rsid w:val="00074C21"/>
    <w:rsid w:val="000752DE"/>
    <w:rsid w:val="00075A7C"/>
    <w:rsid w:val="000760DF"/>
    <w:rsid w:val="00076D3B"/>
    <w:rsid w:val="00077ECD"/>
    <w:rsid w:val="0008041E"/>
    <w:rsid w:val="000813BF"/>
    <w:rsid w:val="00081513"/>
    <w:rsid w:val="0008186E"/>
    <w:rsid w:val="00081FE6"/>
    <w:rsid w:val="000825A2"/>
    <w:rsid w:val="00082A3A"/>
    <w:rsid w:val="00082BA8"/>
    <w:rsid w:val="000831D0"/>
    <w:rsid w:val="00083580"/>
    <w:rsid w:val="0008382B"/>
    <w:rsid w:val="00083B68"/>
    <w:rsid w:val="000840ED"/>
    <w:rsid w:val="000866B4"/>
    <w:rsid w:val="00086914"/>
    <w:rsid w:val="000869AB"/>
    <w:rsid w:val="00086D06"/>
    <w:rsid w:val="00087037"/>
    <w:rsid w:val="00087B1B"/>
    <w:rsid w:val="000907F5"/>
    <w:rsid w:val="00090AC3"/>
    <w:rsid w:val="00091270"/>
    <w:rsid w:val="000914CA"/>
    <w:rsid w:val="000923C9"/>
    <w:rsid w:val="00092A06"/>
    <w:rsid w:val="00093039"/>
    <w:rsid w:val="0009303E"/>
    <w:rsid w:val="000932D2"/>
    <w:rsid w:val="000939BA"/>
    <w:rsid w:val="00093A37"/>
    <w:rsid w:val="00093A87"/>
    <w:rsid w:val="00093B6C"/>
    <w:rsid w:val="000949D4"/>
    <w:rsid w:val="00094B44"/>
    <w:rsid w:val="00094EFC"/>
    <w:rsid w:val="0009506D"/>
    <w:rsid w:val="00095785"/>
    <w:rsid w:val="00097B71"/>
    <w:rsid w:val="000A044B"/>
    <w:rsid w:val="000A0B65"/>
    <w:rsid w:val="000A1F6A"/>
    <w:rsid w:val="000A2063"/>
    <w:rsid w:val="000A31FC"/>
    <w:rsid w:val="000A38DB"/>
    <w:rsid w:val="000A3C57"/>
    <w:rsid w:val="000A3EAA"/>
    <w:rsid w:val="000A4715"/>
    <w:rsid w:val="000A4C87"/>
    <w:rsid w:val="000A4DAE"/>
    <w:rsid w:val="000A4F2E"/>
    <w:rsid w:val="000A537E"/>
    <w:rsid w:val="000A5482"/>
    <w:rsid w:val="000A5A37"/>
    <w:rsid w:val="000A5D8F"/>
    <w:rsid w:val="000A5DDD"/>
    <w:rsid w:val="000A67EF"/>
    <w:rsid w:val="000A6985"/>
    <w:rsid w:val="000A6F77"/>
    <w:rsid w:val="000A71F3"/>
    <w:rsid w:val="000A724B"/>
    <w:rsid w:val="000A72E0"/>
    <w:rsid w:val="000A7DDD"/>
    <w:rsid w:val="000B048D"/>
    <w:rsid w:val="000B1A04"/>
    <w:rsid w:val="000B1C0B"/>
    <w:rsid w:val="000B2426"/>
    <w:rsid w:val="000B2C54"/>
    <w:rsid w:val="000B2DCC"/>
    <w:rsid w:val="000B2E43"/>
    <w:rsid w:val="000B2FCF"/>
    <w:rsid w:val="000B45C3"/>
    <w:rsid w:val="000B4B42"/>
    <w:rsid w:val="000B4DE8"/>
    <w:rsid w:val="000B4F91"/>
    <w:rsid w:val="000B53DF"/>
    <w:rsid w:val="000B60B4"/>
    <w:rsid w:val="000B6A6E"/>
    <w:rsid w:val="000C066B"/>
    <w:rsid w:val="000C0BC1"/>
    <w:rsid w:val="000C1441"/>
    <w:rsid w:val="000C187C"/>
    <w:rsid w:val="000C1914"/>
    <w:rsid w:val="000C1941"/>
    <w:rsid w:val="000C1A65"/>
    <w:rsid w:val="000C1D37"/>
    <w:rsid w:val="000C208B"/>
    <w:rsid w:val="000C2DF8"/>
    <w:rsid w:val="000C3566"/>
    <w:rsid w:val="000C40D7"/>
    <w:rsid w:val="000C4F5C"/>
    <w:rsid w:val="000C59B0"/>
    <w:rsid w:val="000C5F11"/>
    <w:rsid w:val="000C66D1"/>
    <w:rsid w:val="000C68BA"/>
    <w:rsid w:val="000C6EA0"/>
    <w:rsid w:val="000D0308"/>
    <w:rsid w:val="000D0C7F"/>
    <w:rsid w:val="000D0E6B"/>
    <w:rsid w:val="000D0FE2"/>
    <w:rsid w:val="000D17E2"/>
    <w:rsid w:val="000D1830"/>
    <w:rsid w:val="000D229E"/>
    <w:rsid w:val="000D24C1"/>
    <w:rsid w:val="000D271C"/>
    <w:rsid w:val="000D2B29"/>
    <w:rsid w:val="000D2C82"/>
    <w:rsid w:val="000D3E22"/>
    <w:rsid w:val="000D4198"/>
    <w:rsid w:val="000D4CC6"/>
    <w:rsid w:val="000D51D5"/>
    <w:rsid w:val="000D595A"/>
    <w:rsid w:val="000D620C"/>
    <w:rsid w:val="000D6D8E"/>
    <w:rsid w:val="000D7072"/>
    <w:rsid w:val="000D7A04"/>
    <w:rsid w:val="000D7E91"/>
    <w:rsid w:val="000E0601"/>
    <w:rsid w:val="000E0701"/>
    <w:rsid w:val="000E08A0"/>
    <w:rsid w:val="000E094D"/>
    <w:rsid w:val="000E0E20"/>
    <w:rsid w:val="000E2361"/>
    <w:rsid w:val="000E2AC4"/>
    <w:rsid w:val="000E4597"/>
    <w:rsid w:val="000E4FA4"/>
    <w:rsid w:val="000E51F8"/>
    <w:rsid w:val="000E6277"/>
    <w:rsid w:val="000E6F69"/>
    <w:rsid w:val="000E706F"/>
    <w:rsid w:val="000E71F8"/>
    <w:rsid w:val="000E7B75"/>
    <w:rsid w:val="000F21C7"/>
    <w:rsid w:val="000F2848"/>
    <w:rsid w:val="000F3560"/>
    <w:rsid w:val="000F3778"/>
    <w:rsid w:val="000F3FBF"/>
    <w:rsid w:val="000F4761"/>
    <w:rsid w:val="000F4A09"/>
    <w:rsid w:val="000F4F6F"/>
    <w:rsid w:val="000F509C"/>
    <w:rsid w:val="000F7522"/>
    <w:rsid w:val="000F772F"/>
    <w:rsid w:val="000F7DE9"/>
    <w:rsid w:val="00101DBF"/>
    <w:rsid w:val="0010363A"/>
    <w:rsid w:val="0010367B"/>
    <w:rsid w:val="001037DC"/>
    <w:rsid w:val="001042F7"/>
    <w:rsid w:val="00104516"/>
    <w:rsid w:val="001048FA"/>
    <w:rsid w:val="001058A3"/>
    <w:rsid w:val="00106014"/>
    <w:rsid w:val="001065C9"/>
    <w:rsid w:val="00106EE8"/>
    <w:rsid w:val="00107649"/>
    <w:rsid w:val="00107669"/>
    <w:rsid w:val="00107680"/>
    <w:rsid w:val="001078FA"/>
    <w:rsid w:val="001110C1"/>
    <w:rsid w:val="001115B3"/>
    <w:rsid w:val="0011197D"/>
    <w:rsid w:val="00111E57"/>
    <w:rsid w:val="0011241D"/>
    <w:rsid w:val="00112D53"/>
    <w:rsid w:val="00112DAB"/>
    <w:rsid w:val="00112FB7"/>
    <w:rsid w:val="001133F3"/>
    <w:rsid w:val="00113636"/>
    <w:rsid w:val="00113E03"/>
    <w:rsid w:val="00113E28"/>
    <w:rsid w:val="00113EB6"/>
    <w:rsid w:val="001140A4"/>
    <w:rsid w:val="0011451C"/>
    <w:rsid w:val="001145A1"/>
    <w:rsid w:val="001146C7"/>
    <w:rsid w:val="0011531E"/>
    <w:rsid w:val="0011568C"/>
    <w:rsid w:val="001157D8"/>
    <w:rsid w:val="00115FAD"/>
    <w:rsid w:val="00116C09"/>
    <w:rsid w:val="00116DF2"/>
    <w:rsid w:val="001175D8"/>
    <w:rsid w:val="00117615"/>
    <w:rsid w:val="0011765B"/>
    <w:rsid w:val="00117761"/>
    <w:rsid w:val="0011793C"/>
    <w:rsid w:val="00117C2D"/>
    <w:rsid w:val="00117DB2"/>
    <w:rsid w:val="00120208"/>
    <w:rsid w:val="0012154A"/>
    <w:rsid w:val="001217DA"/>
    <w:rsid w:val="001219E1"/>
    <w:rsid w:val="00121D79"/>
    <w:rsid w:val="00122C0C"/>
    <w:rsid w:val="00122F00"/>
    <w:rsid w:val="00123B09"/>
    <w:rsid w:val="00123BC8"/>
    <w:rsid w:val="00123C35"/>
    <w:rsid w:val="00123F6E"/>
    <w:rsid w:val="001249D2"/>
    <w:rsid w:val="00125C44"/>
    <w:rsid w:val="00126565"/>
    <w:rsid w:val="001274B8"/>
    <w:rsid w:val="0013052A"/>
    <w:rsid w:val="00130561"/>
    <w:rsid w:val="00130D57"/>
    <w:rsid w:val="00131002"/>
    <w:rsid w:val="00131163"/>
    <w:rsid w:val="001318A5"/>
    <w:rsid w:val="00131B81"/>
    <w:rsid w:val="00131C26"/>
    <w:rsid w:val="001324BD"/>
    <w:rsid w:val="00132A94"/>
    <w:rsid w:val="00132BE7"/>
    <w:rsid w:val="00132FE0"/>
    <w:rsid w:val="00133773"/>
    <w:rsid w:val="00133F15"/>
    <w:rsid w:val="001341A5"/>
    <w:rsid w:val="00134C16"/>
    <w:rsid w:val="00134E5B"/>
    <w:rsid w:val="00135632"/>
    <w:rsid w:val="00136765"/>
    <w:rsid w:val="00136865"/>
    <w:rsid w:val="0013770C"/>
    <w:rsid w:val="00137A04"/>
    <w:rsid w:val="00140997"/>
    <w:rsid w:val="0014154A"/>
    <w:rsid w:val="00141FAF"/>
    <w:rsid w:val="0014213D"/>
    <w:rsid w:val="001427A0"/>
    <w:rsid w:val="001428D1"/>
    <w:rsid w:val="0014316C"/>
    <w:rsid w:val="00143256"/>
    <w:rsid w:val="001439A8"/>
    <w:rsid w:val="00143E48"/>
    <w:rsid w:val="001440FF"/>
    <w:rsid w:val="0014421A"/>
    <w:rsid w:val="001449AD"/>
    <w:rsid w:val="0014517D"/>
    <w:rsid w:val="00145ECD"/>
    <w:rsid w:val="00146E20"/>
    <w:rsid w:val="00147502"/>
    <w:rsid w:val="00147B4E"/>
    <w:rsid w:val="00147B7A"/>
    <w:rsid w:val="00150CF8"/>
    <w:rsid w:val="00150F3E"/>
    <w:rsid w:val="00151102"/>
    <w:rsid w:val="0015158B"/>
    <w:rsid w:val="001516C1"/>
    <w:rsid w:val="0015185F"/>
    <w:rsid w:val="00151A8A"/>
    <w:rsid w:val="0015204C"/>
    <w:rsid w:val="001521C9"/>
    <w:rsid w:val="001526A1"/>
    <w:rsid w:val="001529F9"/>
    <w:rsid w:val="00153C09"/>
    <w:rsid w:val="0015437D"/>
    <w:rsid w:val="00154762"/>
    <w:rsid w:val="001559F7"/>
    <w:rsid w:val="0015623C"/>
    <w:rsid w:val="00156348"/>
    <w:rsid w:val="0015657D"/>
    <w:rsid w:val="00157145"/>
    <w:rsid w:val="001574D7"/>
    <w:rsid w:val="00157681"/>
    <w:rsid w:val="0015772A"/>
    <w:rsid w:val="00157759"/>
    <w:rsid w:val="00157834"/>
    <w:rsid w:val="00157F04"/>
    <w:rsid w:val="0016045A"/>
    <w:rsid w:val="00160548"/>
    <w:rsid w:val="00160EB0"/>
    <w:rsid w:val="001618A3"/>
    <w:rsid w:val="00161DFB"/>
    <w:rsid w:val="00161E35"/>
    <w:rsid w:val="0016276E"/>
    <w:rsid w:val="001631C8"/>
    <w:rsid w:val="00163CA9"/>
    <w:rsid w:val="0016439B"/>
    <w:rsid w:val="00164C2F"/>
    <w:rsid w:val="00164DB8"/>
    <w:rsid w:val="001652DC"/>
    <w:rsid w:val="00165ADA"/>
    <w:rsid w:val="00165ECC"/>
    <w:rsid w:val="00165F08"/>
    <w:rsid w:val="001662C5"/>
    <w:rsid w:val="00166A26"/>
    <w:rsid w:val="00166E7E"/>
    <w:rsid w:val="00166E9F"/>
    <w:rsid w:val="0016755E"/>
    <w:rsid w:val="001677FC"/>
    <w:rsid w:val="00167F12"/>
    <w:rsid w:val="00167FC5"/>
    <w:rsid w:val="00170453"/>
    <w:rsid w:val="001704EF"/>
    <w:rsid w:val="00170520"/>
    <w:rsid w:val="00170D16"/>
    <w:rsid w:val="00171DD8"/>
    <w:rsid w:val="00172222"/>
    <w:rsid w:val="00172602"/>
    <w:rsid w:val="00172675"/>
    <w:rsid w:val="00172CD1"/>
    <w:rsid w:val="00173752"/>
    <w:rsid w:val="00173EB2"/>
    <w:rsid w:val="00173F47"/>
    <w:rsid w:val="00173F52"/>
    <w:rsid w:val="0017408A"/>
    <w:rsid w:val="00174E07"/>
    <w:rsid w:val="00175368"/>
    <w:rsid w:val="00175395"/>
    <w:rsid w:val="00175624"/>
    <w:rsid w:val="00175FE1"/>
    <w:rsid w:val="00176076"/>
    <w:rsid w:val="001761FF"/>
    <w:rsid w:val="00176A58"/>
    <w:rsid w:val="0017700F"/>
    <w:rsid w:val="00177519"/>
    <w:rsid w:val="00177FF9"/>
    <w:rsid w:val="00180ECD"/>
    <w:rsid w:val="00181582"/>
    <w:rsid w:val="00182271"/>
    <w:rsid w:val="001828B5"/>
    <w:rsid w:val="00183433"/>
    <w:rsid w:val="001834FD"/>
    <w:rsid w:val="001837F9"/>
    <w:rsid w:val="001844F0"/>
    <w:rsid w:val="00184992"/>
    <w:rsid w:val="001851BC"/>
    <w:rsid w:val="001852F5"/>
    <w:rsid w:val="001857B9"/>
    <w:rsid w:val="0018586B"/>
    <w:rsid w:val="00185B1D"/>
    <w:rsid w:val="00185D99"/>
    <w:rsid w:val="001865D2"/>
    <w:rsid w:val="00186657"/>
    <w:rsid w:val="001869E8"/>
    <w:rsid w:val="00186CE0"/>
    <w:rsid w:val="00187422"/>
    <w:rsid w:val="00187BD1"/>
    <w:rsid w:val="00190732"/>
    <w:rsid w:val="00190A6A"/>
    <w:rsid w:val="00190AC5"/>
    <w:rsid w:val="001910B8"/>
    <w:rsid w:val="0019165E"/>
    <w:rsid w:val="00192354"/>
    <w:rsid w:val="00192E9A"/>
    <w:rsid w:val="00194C2F"/>
    <w:rsid w:val="001951FF"/>
    <w:rsid w:val="001954EB"/>
    <w:rsid w:val="0019567E"/>
    <w:rsid w:val="0019659D"/>
    <w:rsid w:val="00196915"/>
    <w:rsid w:val="001974DA"/>
    <w:rsid w:val="00197665"/>
    <w:rsid w:val="00197994"/>
    <w:rsid w:val="00197FF7"/>
    <w:rsid w:val="001A1637"/>
    <w:rsid w:val="001A1B7F"/>
    <w:rsid w:val="001A2689"/>
    <w:rsid w:val="001A2A5E"/>
    <w:rsid w:val="001A30C5"/>
    <w:rsid w:val="001A337E"/>
    <w:rsid w:val="001A354C"/>
    <w:rsid w:val="001A3E98"/>
    <w:rsid w:val="001A45C3"/>
    <w:rsid w:val="001A4B23"/>
    <w:rsid w:val="001A4F3A"/>
    <w:rsid w:val="001A59D0"/>
    <w:rsid w:val="001A62BA"/>
    <w:rsid w:val="001A7020"/>
    <w:rsid w:val="001A7255"/>
    <w:rsid w:val="001A73FE"/>
    <w:rsid w:val="001A7644"/>
    <w:rsid w:val="001B0A43"/>
    <w:rsid w:val="001B0AEC"/>
    <w:rsid w:val="001B0B99"/>
    <w:rsid w:val="001B0DF3"/>
    <w:rsid w:val="001B13B1"/>
    <w:rsid w:val="001B1495"/>
    <w:rsid w:val="001B2BAC"/>
    <w:rsid w:val="001B349F"/>
    <w:rsid w:val="001B3E69"/>
    <w:rsid w:val="001B408D"/>
    <w:rsid w:val="001B42A4"/>
    <w:rsid w:val="001B4512"/>
    <w:rsid w:val="001B47F2"/>
    <w:rsid w:val="001B49E3"/>
    <w:rsid w:val="001B5F73"/>
    <w:rsid w:val="001B61B8"/>
    <w:rsid w:val="001B61EC"/>
    <w:rsid w:val="001B688C"/>
    <w:rsid w:val="001B6B90"/>
    <w:rsid w:val="001B6EB3"/>
    <w:rsid w:val="001B77BA"/>
    <w:rsid w:val="001B7869"/>
    <w:rsid w:val="001B7D6A"/>
    <w:rsid w:val="001B7F53"/>
    <w:rsid w:val="001C0654"/>
    <w:rsid w:val="001C0E89"/>
    <w:rsid w:val="001C1036"/>
    <w:rsid w:val="001C1541"/>
    <w:rsid w:val="001C162E"/>
    <w:rsid w:val="001C1E52"/>
    <w:rsid w:val="001C208D"/>
    <w:rsid w:val="001C2E8F"/>
    <w:rsid w:val="001C35FA"/>
    <w:rsid w:val="001C62A0"/>
    <w:rsid w:val="001C666E"/>
    <w:rsid w:val="001C7251"/>
    <w:rsid w:val="001C77AC"/>
    <w:rsid w:val="001D09EE"/>
    <w:rsid w:val="001D0D83"/>
    <w:rsid w:val="001D113B"/>
    <w:rsid w:val="001D1B93"/>
    <w:rsid w:val="001D1F18"/>
    <w:rsid w:val="001D20BF"/>
    <w:rsid w:val="001D228B"/>
    <w:rsid w:val="001D2B9A"/>
    <w:rsid w:val="001D32BD"/>
    <w:rsid w:val="001D4369"/>
    <w:rsid w:val="001D54F7"/>
    <w:rsid w:val="001D5571"/>
    <w:rsid w:val="001D5662"/>
    <w:rsid w:val="001D56EC"/>
    <w:rsid w:val="001D67F5"/>
    <w:rsid w:val="001D6B16"/>
    <w:rsid w:val="001D7BDE"/>
    <w:rsid w:val="001D7D82"/>
    <w:rsid w:val="001D7F17"/>
    <w:rsid w:val="001D7FCB"/>
    <w:rsid w:val="001E00E2"/>
    <w:rsid w:val="001E052A"/>
    <w:rsid w:val="001E1407"/>
    <w:rsid w:val="001E17EB"/>
    <w:rsid w:val="001E2259"/>
    <w:rsid w:val="001E22A3"/>
    <w:rsid w:val="001E288A"/>
    <w:rsid w:val="001E2E83"/>
    <w:rsid w:val="001E3FE1"/>
    <w:rsid w:val="001E467A"/>
    <w:rsid w:val="001E5290"/>
    <w:rsid w:val="001E539F"/>
    <w:rsid w:val="001E53EC"/>
    <w:rsid w:val="001E5886"/>
    <w:rsid w:val="001E589B"/>
    <w:rsid w:val="001E6B78"/>
    <w:rsid w:val="001E71A6"/>
    <w:rsid w:val="001E71C2"/>
    <w:rsid w:val="001F1AC8"/>
    <w:rsid w:val="001F213D"/>
    <w:rsid w:val="001F2625"/>
    <w:rsid w:val="001F42DB"/>
    <w:rsid w:val="001F50CB"/>
    <w:rsid w:val="001F56A1"/>
    <w:rsid w:val="001F7AB6"/>
    <w:rsid w:val="002002AC"/>
    <w:rsid w:val="00200319"/>
    <w:rsid w:val="00200463"/>
    <w:rsid w:val="00200D52"/>
    <w:rsid w:val="00201353"/>
    <w:rsid w:val="002016D2"/>
    <w:rsid w:val="002023D7"/>
    <w:rsid w:val="00202BB5"/>
    <w:rsid w:val="00202D5C"/>
    <w:rsid w:val="00203095"/>
    <w:rsid w:val="002031AB"/>
    <w:rsid w:val="0020336C"/>
    <w:rsid w:val="00203833"/>
    <w:rsid w:val="00203F51"/>
    <w:rsid w:val="0020436A"/>
    <w:rsid w:val="002048AB"/>
    <w:rsid w:val="00204CF2"/>
    <w:rsid w:val="0020524F"/>
    <w:rsid w:val="00205462"/>
    <w:rsid w:val="00205473"/>
    <w:rsid w:val="00205B08"/>
    <w:rsid w:val="00205DB9"/>
    <w:rsid w:val="00206F09"/>
    <w:rsid w:val="00207756"/>
    <w:rsid w:val="00207D95"/>
    <w:rsid w:val="00207FFC"/>
    <w:rsid w:val="00210005"/>
    <w:rsid w:val="002100BA"/>
    <w:rsid w:val="0021011D"/>
    <w:rsid w:val="002101BA"/>
    <w:rsid w:val="002108FB"/>
    <w:rsid w:val="0021183A"/>
    <w:rsid w:val="002118D6"/>
    <w:rsid w:val="002125CA"/>
    <w:rsid w:val="00212AE1"/>
    <w:rsid w:val="002134C5"/>
    <w:rsid w:val="002136AF"/>
    <w:rsid w:val="0021461D"/>
    <w:rsid w:val="00214852"/>
    <w:rsid w:val="00214A5C"/>
    <w:rsid w:val="00214E3E"/>
    <w:rsid w:val="00216B07"/>
    <w:rsid w:val="00216C71"/>
    <w:rsid w:val="00216F4A"/>
    <w:rsid w:val="00217FC3"/>
    <w:rsid w:val="002201D1"/>
    <w:rsid w:val="002203C5"/>
    <w:rsid w:val="002210D3"/>
    <w:rsid w:val="00221806"/>
    <w:rsid w:val="00221CEF"/>
    <w:rsid w:val="00221DBB"/>
    <w:rsid w:val="00221DD5"/>
    <w:rsid w:val="0022223E"/>
    <w:rsid w:val="00222674"/>
    <w:rsid w:val="0022328C"/>
    <w:rsid w:val="002238BB"/>
    <w:rsid w:val="002241D7"/>
    <w:rsid w:val="00224324"/>
    <w:rsid w:val="00224CB8"/>
    <w:rsid w:val="0022500E"/>
    <w:rsid w:val="002258C8"/>
    <w:rsid w:val="00226216"/>
    <w:rsid w:val="00226D53"/>
    <w:rsid w:val="00227064"/>
    <w:rsid w:val="00227D02"/>
    <w:rsid w:val="00227D44"/>
    <w:rsid w:val="00227FFD"/>
    <w:rsid w:val="00230210"/>
    <w:rsid w:val="00230322"/>
    <w:rsid w:val="00230831"/>
    <w:rsid w:val="002317D9"/>
    <w:rsid w:val="002320E9"/>
    <w:rsid w:val="00233496"/>
    <w:rsid w:val="00233D38"/>
    <w:rsid w:val="00233DC0"/>
    <w:rsid w:val="002341C3"/>
    <w:rsid w:val="0023450C"/>
    <w:rsid w:val="00234636"/>
    <w:rsid w:val="0023504E"/>
    <w:rsid w:val="00235252"/>
    <w:rsid w:val="0023538C"/>
    <w:rsid w:val="0023581B"/>
    <w:rsid w:val="0023588C"/>
    <w:rsid w:val="00235D02"/>
    <w:rsid w:val="00236ABC"/>
    <w:rsid w:val="00236DA5"/>
    <w:rsid w:val="00237494"/>
    <w:rsid w:val="00237619"/>
    <w:rsid w:val="00237971"/>
    <w:rsid w:val="002401F5"/>
    <w:rsid w:val="00240219"/>
    <w:rsid w:val="00240FEC"/>
    <w:rsid w:val="0024230C"/>
    <w:rsid w:val="002430C6"/>
    <w:rsid w:val="00243652"/>
    <w:rsid w:val="00243F49"/>
    <w:rsid w:val="0024418C"/>
    <w:rsid w:val="002448B6"/>
    <w:rsid w:val="00244D72"/>
    <w:rsid w:val="00244FAF"/>
    <w:rsid w:val="00245225"/>
    <w:rsid w:val="00245C0E"/>
    <w:rsid w:val="00245E21"/>
    <w:rsid w:val="00246444"/>
    <w:rsid w:val="00247771"/>
    <w:rsid w:val="00247DF5"/>
    <w:rsid w:val="00250791"/>
    <w:rsid w:val="002508A3"/>
    <w:rsid w:val="00250E53"/>
    <w:rsid w:val="00251AE4"/>
    <w:rsid w:val="002526D7"/>
    <w:rsid w:val="00252895"/>
    <w:rsid w:val="00252A77"/>
    <w:rsid w:val="00252F5F"/>
    <w:rsid w:val="0025308D"/>
    <w:rsid w:val="00253432"/>
    <w:rsid w:val="00253794"/>
    <w:rsid w:val="002537BF"/>
    <w:rsid w:val="00253C59"/>
    <w:rsid w:val="00253DF0"/>
    <w:rsid w:val="0025409D"/>
    <w:rsid w:val="00254327"/>
    <w:rsid w:val="00254C06"/>
    <w:rsid w:val="0025512A"/>
    <w:rsid w:val="002552EF"/>
    <w:rsid w:val="002556AF"/>
    <w:rsid w:val="00255D63"/>
    <w:rsid w:val="00256906"/>
    <w:rsid w:val="00256F3A"/>
    <w:rsid w:val="002577CE"/>
    <w:rsid w:val="00257AA1"/>
    <w:rsid w:val="00257BAF"/>
    <w:rsid w:val="00260501"/>
    <w:rsid w:val="00261131"/>
    <w:rsid w:val="002614D6"/>
    <w:rsid w:val="00261DA1"/>
    <w:rsid w:val="00261F97"/>
    <w:rsid w:val="00262028"/>
    <w:rsid w:val="002623F7"/>
    <w:rsid w:val="00262949"/>
    <w:rsid w:val="002631A2"/>
    <w:rsid w:val="0026329C"/>
    <w:rsid w:val="002632EE"/>
    <w:rsid w:val="002633EB"/>
    <w:rsid w:val="00263616"/>
    <w:rsid w:val="00264E63"/>
    <w:rsid w:val="00265162"/>
    <w:rsid w:val="002658DC"/>
    <w:rsid w:val="00266123"/>
    <w:rsid w:val="0026634B"/>
    <w:rsid w:val="0026665A"/>
    <w:rsid w:val="00266DE4"/>
    <w:rsid w:val="0026736B"/>
    <w:rsid w:val="002678C9"/>
    <w:rsid w:val="00271431"/>
    <w:rsid w:val="0027287D"/>
    <w:rsid w:val="00273617"/>
    <w:rsid w:val="0027381F"/>
    <w:rsid w:val="00273A54"/>
    <w:rsid w:val="00274457"/>
    <w:rsid w:val="00274BD5"/>
    <w:rsid w:val="00274C84"/>
    <w:rsid w:val="002757F9"/>
    <w:rsid w:val="00275F87"/>
    <w:rsid w:val="00276063"/>
    <w:rsid w:val="002765C3"/>
    <w:rsid w:val="00276A29"/>
    <w:rsid w:val="00276F34"/>
    <w:rsid w:val="002804B0"/>
    <w:rsid w:val="00280545"/>
    <w:rsid w:val="00280B78"/>
    <w:rsid w:val="00281666"/>
    <w:rsid w:val="00281921"/>
    <w:rsid w:val="0028199C"/>
    <w:rsid w:val="00281AA9"/>
    <w:rsid w:val="00281D02"/>
    <w:rsid w:val="002829FD"/>
    <w:rsid w:val="00282C07"/>
    <w:rsid w:val="00283388"/>
    <w:rsid w:val="002839F2"/>
    <w:rsid w:val="00284244"/>
    <w:rsid w:val="00284C64"/>
    <w:rsid w:val="00285483"/>
    <w:rsid w:val="00285500"/>
    <w:rsid w:val="0028551B"/>
    <w:rsid w:val="00286D5B"/>
    <w:rsid w:val="0028717F"/>
    <w:rsid w:val="002876BF"/>
    <w:rsid w:val="00287ABD"/>
    <w:rsid w:val="00287BFC"/>
    <w:rsid w:val="00290354"/>
    <w:rsid w:val="002905B8"/>
    <w:rsid w:val="00290BBD"/>
    <w:rsid w:val="00290EAF"/>
    <w:rsid w:val="00291409"/>
    <w:rsid w:val="002915E0"/>
    <w:rsid w:val="00291677"/>
    <w:rsid w:val="002918A0"/>
    <w:rsid w:val="00292162"/>
    <w:rsid w:val="0029378A"/>
    <w:rsid w:val="00294297"/>
    <w:rsid w:val="0029469D"/>
    <w:rsid w:val="002946BC"/>
    <w:rsid w:val="002946FF"/>
    <w:rsid w:val="00294CED"/>
    <w:rsid w:val="0029558E"/>
    <w:rsid w:val="00295A36"/>
    <w:rsid w:val="00295FF9"/>
    <w:rsid w:val="002965D5"/>
    <w:rsid w:val="00296678"/>
    <w:rsid w:val="0029682F"/>
    <w:rsid w:val="00297C5D"/>
    <w:rsid w:val="002A0CBB"/>
    <w:rsid w:val="002A0DF4"/>
    <w:rsid w:val="002A133E"/>
    <w:rsid w:val="002A179D"/>
    <w:rsid w:val="002A1864"/>
    <w:rsid w:val="002A200F"/>
    <w:rsid w:val="002A2A84"/>
    <w:rsid w:val="002A2C25"/>
    <w:rsid w:val="002A2D67"/>
    <w:rsid w:val="002A3BF7"/>
    <w:rsid w:val="002A4356"/>
    <w:rsid w:val="002A4495"/>
    <w:rsid w:val="002A45BF"/>
    <w:rsid w:val="002A4701"/>
    <w:rsid w:val="002A47B6"/>
    <w:rsid w:val="002A4BD0"/>
    <w:rsid w:val="002A5284"/>
    <w:rsid w:val="002A5641"/>
    <w:rsid w:val="002A56F5"/>
    <w:rsid w:val="002A587E"/>
    <w:rsid w:val="002A6766"/>
    <w:rsid w:val="002A6E18"/>
    <w:rsid w:val="002A7A0C"/>
    <w:rsid w:val="002A7F15"/>
    <w:rsid w:val="002B03E5"/>
    <w:rsid w:val="002B0A0E"/>
    <w:rsid w:val="002B1CDF"/>
    <w:rsid w:val="002B1FD1"/>
    <w:rsid w:val="002B21B0"/>
    <w:rsid w:val="002B25FD"/>
    <w:rsid w:val="002B299A"/>
    <w:rsid w:val="002B3231"/>
    <w:rsid w:val="002B361B"/>
    <w:rsid w:val="002B382F"/>
    <w:rsid w:val="002B3B5C"/>
    <w:rsid w:val="002B3C44"/>
    <w:rsid w:val="002B3E88"/>
    <w:rsid w:val="002B42BA"/>
    <w:rsid w:val="002B47CC"/>
    <w:rsid w:val="002B4C16"/>
    <w:rsid w:val="002B5252"/>
    <w:rsid w:val="002B540F"/>
    <w:rsid w:val="002B63BE"/>
    <w:rsid w:val="002B6960"/>
    <w:rsid w:val="002B7E78"/>
    <w:rsid w:val="002C004B"/>
    <w:rsid w:val="002C052A"/>
    <w:rsid w:val="002C070E"/>
    <w:rsid w:val="002C0B96"/>
    <w:rsid w:val="002C1A60"/>
    <w:rsid w:val="002C2981"/>
    <w:rsid w:val="002C3329"/>
    <w:rsid w:val="002C36AE"/>
    <w:rsid w:val="002C39D7"/>
    <w:rsid w:val="002C3D7E"/>
    <w:rsid w:val="002C3F7A"/>
    <w:rsid w:val="002C4C04"/>
    <w:rsid w:val="002C4CD0"/>
    <w:rsid w:val="002C4D2F"/>
    <w:rsid w:val="002C59ED"/>
    <w:rsid w:val="002C5C69"/>
    <w:rsid w:val="002C5D2E"/>
    <w:rsid w:val="002C72D0"/>
    <w:rsid w:val="002C7490"/>
    <w:rsid w:val="002C7975"/>
    <w:rsid w:val="002C7A01"/>
    <w:rsid w:val="002C7C96"/>
    <w:rsid w:val="002C7ECC"/>
    <w:rsid w:val="002D0271"/>
    <w:rsid w:val="002D101A"/>
    <w:rsid w:val="002D1629"/>
    <w:rsid w:val="002D1F4D"/>
    <w:rsid w:val="002D1F97"/>
    <w:rsid w:val="002D200F"/>
    <w:rsid w:val="002D211E"/>
    <w:rsid w:val="002D2654"/>
    <w:rsid w:val="002D2DE0"/>
    <w:rsid w:val="002D32D1"/>
    <w:rsid w:val="002D3ECC"/>
    <w:rsid w:val="002D4359"/>
    <w:rsid w:val="002D47C3"/>
    <w:rsid w:val="002D4DDF"/>
    <w:rsid w:val="002D4E7C"/>
    <w:rsid w:val="002D5076"/>
    <w:rsid w:val="002D5367"/>
    <w:rsid w:val="002D57E1"/>
    <w:rsid w:val="002D5835"/>
    <w:rsid w:val="002D72CC"/>
    <w:rsid w:val="002D7602"/>
    <w:rsid w:val="002D78E4"/>
    <w:rsid w:val="002D7C54"/>
    <w:rsid w:val="002E0D00"/>
    <w:rsid w:val="002E0FC3"/>
    <w:rsid w:val="002E1254"/>
    <w:rsid w:val="002E1929"/>
    <w:rsid w:val="002E2016"/>
    <w:rsid w:val="002E26F3"/>
    <w:rsid w:val="002E3064"/>
    <w:rsid w:val="002E32C8"/>
    <w:rsid w:val="002E48D7"/>
    <w:rsid w:val="002E52DA"/>
    <w:rsid w:val="002E5D7A"/>
    <w:rsid w:val="002E5FD2"/>
    <w:rsid w:val="002E6410"/>
    <w:rsid w:val="002E6A41"/>
    <w:rsid w:val="002E6B1F"/>
    <w:rsid w:val="002E77F1"/>
    <w:rsid w:val="002F0E91"/>
    <w:rsid w:val="002F177C"/>
    <w:rsid w:val="002F329D"/>
    <w:rsid w:val="002F36E9"/>
    <w:rsid w:val="002F45F1"/>
    <w:rsid w:val="002F50B8"/>
    <w:rsid w:val="002F5508"/>
    <w:rsid w:val="002F588F"/>
    <w:rsid w:val="002F5D48"/>
    <w:rsid w:val="002F5E2F"/>
    <w:rsid w:val="002F6236"/>
    <w:rsid w:val="002F689D"/>
    <w:rsid w:val="002F76F4"/>
    <w:rsid w:val="002F7956"/>
    <w:rsid w:val="00301396"/>
    <w:rsid w:val="00301818"/>
    <w:rsid w:val="00301897"/>
    <w:rsid w:val="00301CEB"/>
    <w:rsid w:val="003025F4"/>
    <w:rsid w:val="0030331C"/>
    <w:rsid w:val="003035A1"/>
    <w:rsid w:val="00303611"/>
    <w:rsid w:val="00303786"/>
    <w:rsid w:val="0030478F"/>
    <w:rsid w:val="00304FF9"/>
    <w:rsid w:val="0030548C"/>
    <w:rsid w:val="00305874"/>
    <w:rsid w:val="0030613E"/>
    <w:rsid w:val="00306258"/>
    <w:rsid w:val="0030640F"/>
    <w:rsid w:val="00306C3D"/>
    <w:rsid w:val="00307095"/>
    <w:rsid w:val="00307C5E"/>
    <w:rsid w:val="00310813"/>
    <w:rsid w:val="00310DF3"/>
    <w:rsid w:val="00311100"/>
    <w:rsid w:val="00311890"/>
    <w:rsid w:val="00311E54"/>
    <w:rsid w:val="003121FB"/>
    <w:rsid w:val="003127B6"/>
    <w:rsid w:val="00312BA1"/>
    <w:rsid w:val="00313153"/>
    <w:rsid w:val="00314618"/>
    <w:rsid w:val="003151D1"/>
    <w:rsid w:val="003152C4"/>
    <w:rsid w:val="00315B9F"/>
    <w:rsid w:val="00315CAD"/>
    <w:rsid w:val="00315FB3"/>
    <w:rsid w:val="00316EED"/>
    <w:rsid w:val="003170C6"/>
    <w:rsid w:val="00317AB7"/>
    <w:rsid w:val="00320003"/>
    <w:rsid w:val="003205CA"/>
    <w:rsid w:val="00320AD5"/>
    <w:rsid w:val="00320B47"/>
    <w:rsid w:val="00321D61"/>
    <w:rsid w:val="00321D82"/>
    <w:rsid w:val="003221C3"/>
    <w:rsid w:val="00322586"/>
    <w:rsid w:val="003233A6"/>
    <w:rsid w:val="00323758"/>
    <w:rsid w:val="0032383C"/>
    <w:rsid w:val="00323A9D"/>
    <w:rsid w:val="003240FD"/>
    <w:rsid w:val="00324C49"/>
    <w:rsid w:val="00326664"/>
    <w:rsid w:val="003271CF"/>
    <w:rsid w:val="003272D3"/>
    <w:rsid w:val="003276D5"/>
    <w:rsid w:val="003306AE"/>
    <w:rsid w:val="00330778"/>
    <w:rsid w:val="00330CC5"/>
    <w:rsid w:val="00331649"/>
    <w:rsid w:val="003319D6"/>
    <w:rsid w:val="00331A14"/>
    <w:rsid w:val="00331AB0"/>
    <w:rsid w:val="00332332"/>
    <w:rsid w:val="003324F3"/>
    <w:rsid w:val="00332FFD"/>
    <w:rsid w:val="00334D41"/>
    <w:rsid w:val="0033510C"/>
    <w:rsid w:val="003353A9"/>
    <w:rsid w:val="003357B8"/>
    <w:rsid w:val="003359DA"/>
    <w:rsid w:val="00335A26"/>
    <w:rsid w:val="00335B12"/>
    <w:rsid w:val="0033732A"/>
    <w:rsid w:val="00337CE6"/>
    <w:rsid w:val="00337D42"/>
    <w:rsid w:val="003400FE"/>
    <w:rsid w:val="00340A83"/>
    <w:rsid w:val="00340DF0"/>
    <w:rsid w:val="003416B5"/>
    <w:rsid w:val="00342105"/>
    <w:rsid w:val="003428B7"/>
    <w:rsid w:val="00342B9F"/>
    <w:rsid w:val="00343A66"/>
    <w:rsid w:val="00343CBB"/>
    <w:rsid w:val="0034407D"/>
    <w:rsid w:val="00344839"/>
    <w:rsid w:val="00345102"/>
    <w:rsid w:val="003451DC"/>
    <w:rsid w:val="00345C0F"/>
    <w:rsid w:val="00345D4A"/>
    <w:rsid w:val="00345F5E"/>
    <w:rsid w:val="0034621B"/>
    <w:rsid w:val="003463D6"/>
    <w:rsid w:val="00347514"/>
    <w:rsid w:val="003477B4"/>
    <w:rsid w:val="00347BD6"/>
    <w:rsid w:val="00350219"/>
    <w:rsid w:val="003504FE"/>
    <w:rsid w:val="0035060F"/>
    <w:rsid w:val="00351399"/>
    <w:rsid w:val="00352151"/>
    <w:rsid w:val="0035295B"/>
    <w:rsid w:val="003530DC"/>
    <w:rsid w:val="00353721"/>
    <w:rsid w:val="00353A2B"/>
    <w:rsid w:val="00355569"/>
    <w:rsid w:val="00355B00"/>
    <w:rsid w:val="003564AE"/>
    <w:rsid w:val="00356C7A"/>
    <w:rsid w:val="00356D1E"/>
    <w:rsid w:val="00360042"/>
    <w:rsid w:val="0036054D"/>
    <w:rsid w:val="00360ED5"/>
    <w:rsid w:val="003617DB"/>
    <w:rsid w:val="00362C1B"/>
    <w:rsid w:val="0036377C"/>
    <w:rsid w:val="0036384D"/>
    <w:rsid w:val="00363C73"/>
    <w:rsid w:val="00363D7F"/>
    <w:rsid w:val="00363F20"/>
    <w:rsid w:val="003644ED"/>
    <w:rsid w:val="003645CF"/>
    <w:rsid w:val="00364B0D"/>
    <w:rsid w:val="00364E77"/>
    <w:rsid w:val="00364FAF"/>
    <w:rsid w:val="00364FC7"/>
    <w:rsid w:val="00365147"/>
    <w:rsid w:val="0036587C"/>
    <w:rsid w:val="00365FE9"/>
    <w:rsid w:val="003667F9"/>
    <w:rsid w:val="00366A59"/>
    <w:rsid w:val="00366CF8"/>
    <w:rsid w:val="00366F50"/>
    <w:rsid w:val="00367832"/>
    <w:rsid w:val="00370060"/>
    <w:rsid w:val="003707DB"/>
    <w:rsid w:val="00370831"/>
    <w:rsid w:val="0037160F"/>
    <w:rsid w:val="00372581"/>
    <w:rsid w:val="0037548D"/>
    <w:rsid w:val="0037579B"/>
    <w:rsid w:val="00375D47"/>
    <w:rsid w:val="00376363"/>
    <w:rsid w:val="00376862"/>
    <w:rsid w:val="00376BFE"/>
    <w:rsid w:val="00376DBF"/>
    <w:rsid w:val="00377B83"/>
    <w:rsid w:val="00380326"/>
    <w:rsid w:val="0038057B"/>
    <w:rsid w:val="003815A0"/>
    <w:rsid w:val="00382156"/>
    <w:rsid w:val="003824C9"/>
    <w:rsid w:val="0038381D"/>
    <w:rsid w:val="00383A41"/>
    <w:rsid w:val="00384177"/>
    <w:rsid w:val="00384840"/>
    <w:rsid w:val="00384B15"/>
    <w:rsid w:val="00384C36"/>
    <w:rsid w:val="003854A1"/>
    <w:rsid w:val="003859A3"/>
    <w:rsid w:val="00386B00"/>
    <w:rsid w:val="00386CBB"/>
    <w:rsid w:val="003872B9"/>
    <w:rsid w:val="003874F6"/>
    <w:rsid w:val="003875F9"/>
    <w:rsid w:val="003879D5"/>
    <w:rsid w:val="00387B4E"/>
    <w:rsid w:val="0039042C"/>
    <w:rsid w:val="00391014"/>
    <w:rsid w:val="003918BD"/>
    <w:rsid w:val="003919BF"/>
    <w:rsid w:val="00392414"/>
    <w:rsid w:val="003924D7"/>
    <w:rsid w:val="003927F7"/>
    <w:rsid w:val="003938DF"/>
    <w:rsid w:val="00393B7D"/>
    <w:rsid w:val="0039431A"/>
    <w:rsid w:val="00394789"/>
    <w:rsid w:val="00394DD1"/>
    <w:rsid w:val="00397C16"/>
    <w:rsid w:val="00397CB0"/>
    <w:rsid w:val="00397F40"/>
    <w:rsid w:val="003A21A2"/>
    <w:rsid w:val="003A2A5E"/>
    <w:rsid w:val="003A2C13"/>
    <w:rsid w:val="003A2DAD"/>
    <w:rsid w:val="003A2F12"/>
    <w:rsid w:val="003A328D"/>
    <w:rsid w:val="003A3674"/>
    <w:rsid w:val="003A3762"/>
    <w:rsid w:val="003A3CE4"/>
    <w:rsid w:val="003A41B0"/>
    <w:rsid w:val="003A41C1"/>
    <w:rsid w:val="003A4C88"/>
    <w:rsid w:val="003A4D77"/>
    <w:rsid w:val="003A5405"/>
    <w:rsid w:val="003A6B59"/>
    <w:rsid w:val="003A70D8"/>
    <w:rsid w:val="003A7642"/>
    <w:rsid w:val="003A79F3"/>
    <w:rsid w:val="003A7CD7"/>
    <w:rsid w:val="003B025D"/>
    <w:rsid w:val="003B098D"/>
    <w:rsid w:val="003B1241"/>
    <w:rsid w:val="003B213E"/>
    <w:rsid w:val="003B23E7"/>
    <w:rsid w:val="003B28F5"/>
    <w:rsid w:val="003B2C20"/>
    <w:rsid w:val="003B2EC1"/>
    <w:rsid w:val="003B30C9"/>
    <w:rsid w:val="003B3358"/>
    <w:rsid w:val="003B3BF7"/>
    <w:rsid w:val="003B4736"/>
    <w:rsid w:val="003B53F0"/>
    <w:rsid w:val="003B5C3B"/>
    <w:rsid w:val="003B62D8"/>
    <w:rsid w:val="003B6E13"/>
    <w:rsid w:val="003B73C7"/>
    <w:rsid w:val="003C0001"/>
    <w:rsid w:val="003C0018"/>
    <w:rsid w:val="003C005E"/>
    <w:rsid w:val="003C05CD"/>
    <w:rsid w:val="003C12A3"/>
    <w:rsid w:val="003C149E"/>
    <w:rsid w:val="003C1CA5"/>
    <w:rsid w:val="003C1DE4"/>
    <w:rsid w:val="003C220E"/>
    <w:rsid w:val="003C2749"/>
    <w:rsid w:val="003C2E6D"/>
    <w:rsid w:val="003C36CD"/>
    <w:rsid w:val="003C3FF1"/>
    <w:rsid w:val="003C4B22"/>
    <w:rsid w:val="003C620A"/>
    <w:rsid w:val="003C6767"/>
    <w:rsid w:val="003C6A9E"/>
    <w:rsid w:val="003C6E01"/>
    <w:rsid w:val="003C7365"/>
    <w:rsid w:val="003C7623"/>
    <w:rsid w:val="003C76C5"/>
    <w:rsid w:val="003C789B"/>
    <w:rsid w:val="003C799F"/>
    <w:rsid w:val="003D0072"/>
    <w:rsid w:val="003D0470"/>
    <w:rsid w:val="003D06BF"/>
    <w:rsid w:val="003D0DF0"/>
    <w:rsid w:val="003D0EDD"/>
    <w:rsid w:val="003D1250"/>
    <w:rsid w:val="003D18F1"/>
    <w:rsid w:val="003D1EBE"/>
    <w:rsid w:val="003D2A30"/>
    <w:rsid w:val="003D2C27"/>
    <w:rsid w:val="003D321D"/>
    <w:rsid w:val="003D3318"/>
    <w:rsid w:val="003D3579"/>
    <w:rsid w:val="003D35EF"/>
    <w:rsid w:val="003D397E"/>
    <w:rsid w:val="003D48C4"/>
    <w:rsid w:val="003D4961"/>
    <w:rsid w:val="003D4BB9"/>
    <w:rsid w:val="003D4E81"/>
    <w:rsid w:val="003D5093"/>
    <w:rsid w:val="003D5826"/>
    <w:rsid w:val="003D59BF"/>
    <w:rsid w:val="003D698C"/>
    <w:rsid w:val="003D7510"/>
    <w:rsid w:val="003E010A"/>
    <w:rsid w:val="003E02E3"/>
    <w:rsid w:val="003E02EF"/>
    <w:rsid w:val="003E0405"/>
    <w:rsid w:val="003E0F4C"/>
    <w:rsid w:val="003E1519"/>
    <w:rsid w:val="003E17A2"/>
    <w:rsid w:val="003E225D"/>
    <w:rsid w:val="003E2A92"/>
    <w:rsid w:val="003E322C"/>
    <w:rsid w:val="003E39AE"/>
    <w:rsid w:val="003E3C07"/>
    <w:rsid w:val="003E406B"/>
    <w:rsid w:val="003E47FB"/>
    <w:rsid w:val="003E4985"/>
    <w:rsid w:val="003E49C7"/>
    <w:rsid w:val="003E5820"/>
    <w:rsid w:val="003E5C59"/>
    <w:rsid w:val="003E6015"/>
    <w:rsid w:val="003E6EFB"/>
    <w:rsid w:val="003E71BD"/>
    <w:rsid w:val="003E73B7"/>
    <w:rsid w:val="003E7BC3"/>
    <w:rsid w:val="003E7ED5"/>
    <w:rsid w:val="003F02D1"/>
    <w:rsid w:val="003F0F11"/>
    <w:rsid w:val="003F1359"/>
    <w:rsid w:val="003F1932"/>
    <w:rsid w:val="003F1E11"/>
    <w:rsid w:val="003F2081"/>
    <w:rsid w:val="003F21CD"/>
    <w:rsid w:val="003F2A7E"/>
    <w:rsid w:val="003F39B3"/>
    <w:rsid w:val="003F62B2"/>
    <w:rsid w:val="003F630A"/>
    <w:rsid w:val="003F6584"/>
    <w:rsid w:val="003F697D"/>
    <w:rsid w:val="003F6F0F"/>
    <w:rsid w:val="003F75F1"/>
    <w:rsid w:val="003F760D"/>
    <w:rsid w:val="003F768C"/>
    <w:rsid w:val="003F7CCA"/>
    <w:rsid w:val="003F7F8C"/>
    <w:rsid w:val="00400836"/>
    <w:rsid w:val="00400F3C"/>
    <w:rsid w:val="0040174A"/>
    <w:rsid w:val="00401A41"/>
    <w:rsid w:val="00401E1C"/>
    <w:rsid w:val="00402414"/>
    <w:rsid w:val="004025DA"/>
    <w:rsid w:val="004029F3"/>
    <w:rsid w:val="00403069"/>
    <w:rsid w:val="00403256"/>
    <w:rsid w:val="004035AC"/>
    <w:rsid w:val="004040E5"/>
    <w:rsid w:val="004042CB"/>
    <w:rsid w:val="004046C3"/>
    <w:rsid w:val="004046CC"/>
    <w:rsid w:val="00404B69"/>
    <w:rsid w:val="004056ED"/>
    <w:rsid w:val="00405722"/>
    <w:rsid w:val="00406B4A"/>
    <w:rsid w:val="00406F05"/>
    <w:rsid w:val="00407948"/>
    <w:rsid w:val="00407B3E"/>
    <w:rsid w:val="00410804"/>
    <w:rsid w:val="004119D8"/>
    <w:rsid w:val="004125C1"/>
    <w:rsid w:val="00413B8B"/>
    <w:rsid w:val="004140C5"/>
    <w:rsid w:val="004140CD"/>
    <w:rsid w:val="00414F07"/>
    <w:rsid w:val="0041556A"/>
    <w:rsid w:val="0041568A"/>
    <w:rsid w:val="00415BE6"/>
    <w:rsid w:val="00415C1F"/>
    <w:rsid w:val="00416323"/>
    <w:rsid w:val="004163CC"/>
    <w:rsid w:val="00416B04"/>
    <w:rsid w:val="00416B30"/>
    <w:rsid w:val="00416EB5"/>
    <w:rsid w:val="00417A73"/>
    <w:rsid w:val="00417D90"/>
    <w:rsid w:val="00420CAC"/>
    <w:rsid w:val="004214B9"/>
    <w:rsid w:val="0042230E"/>
    <w:rsid w:val="0042254F"/>
    <w:rsid w:val="00422696"/>
    <w:rsid w:val="00422989"/>
    <w:rsid w:val="00423E79"/>
    <w:rsid w:val="00424120"/>
    <w:rsid w:val="004247CE"/>
    <w:rsid w:val="00425932"/>
    <w:rsid w:val="004265CE"/>
    <w:rsid w:val="00427C6C"/>
    <w:rsid w:val="00430261"/>
    <w:rsid w:val="00430392"/>
    <w:rsid w:val="00430774"/>
    <w:rsid w:val="00430A05"/>
    <w:rsid w:val="00433310"/>
    <w:rsid w:val="00433BB4"/>
    <w:rsid w:val="00433CDB"/>
    <w:rsid w:val="004344CE"/>
    <w:rsid w:val="0043474E"/>
    <w:rsid w:val="004349C7"/>
    <w:rsid w:val="00434D47"/>
    <w:rsid w:val="00434DFC"/>
    <w:rsid w:val="00435086"/>
    <w:rsid w:val="00435A44"/>
    <w:rsid w:val="00435A7C"/>
    <w:rsid w:val="004367C0"/>
    <w:rsid w:val="004367D0"/>
    <w:rsid w:val="00436DE0"/>
    <w:rsid w:val="0043776A"/>
    <w:rsid w:val="00437B5A"/>
    <w:rsid w:val="00437C05"/>
    <w:rsid w:val="00440255"/>
    <w:rsid w:val="00440A00"/>
    <w:rsid w:val="0044148F"/>
    <w:rsid w:val="00441792"/>
    <w:rsid w:val="004417E5"/>
    <w:rsid w:val="00441958"/>
    <w:rsid w:val="00441D38"/>
    <w:rsid w:val="00441F5F"/>
    <w:rsid w:val="004426DD"/>
    <w:rsid w:val="004429D1"/>
    <w:rsid w:val="00442A5D"/>
    <w:rsid w:val="00442C9C"/>
    <w:rsid w:val="00442F84"/>
    <w:rsid w:val="00443357"/>
    <w:rsid w:val="00443CE0"/>
    <w:rsid w:val="004443E7"/>
    <w:rsid w:val="0044467D"/>
    <w:rsid w:val="004457BF"/>
    <w:rsid w:val="004458AD"/>
    <w:rsid w:val="00445BD5"/>
    <w:rsid w:val="00446304"/>
    <w:rsid w:val="00446BAF"/>
    <w:rsid w:val="00446C35"/>
    <w:rsid w:val="004475F7"/>
    <w:rsid w:val="004476CE"/>
    <w:rsid w:val="004500C2"/>
    <w:rsid w:val="00450EA9"/>
    <w:rsid w:val="00451A00"/>
    <w:rsid w:val="00451E83"/>
    <w:rsid w:val="00452264"/>
    <w:rsid w:val="004524CF"/>
    <w:rsid w:val="00452DF9"/>
    <w:rsid w:val="00452EB8"/>
    <w:rsid w:val="004535CF"/>
    <w:rsid w:val="00454F2A"/>
    <w:rsid w:val="00454F5E"/>
    <w:rsid w:val="004553AF"/>
    <w:rsid w:val="00455B53"/>
    <w:rsid w:val="0045601D"/>
    <w:rsid w:val="00456CEB"/>
    <w:rsid w:val="004572C1"/>
    <w:rsid w:val="004576D9"/>
    <w:rsid w:val="004602B6"/>
    <w:rsid w:val="004607C4"/>
    <w:rsid w:val="0046085A"/>
    <w:rsid w:val="004611E5"/>
    <w:rsid w:val="00461CA0"/>
    <w:rsid w:val="00461F9A"/>
    <w:rsid w:val="0046235B"/>
    <w:rsid w:val="00462647"/>
    <w:rsid w:val="00462916"/>
    <w:rsid w:val="00462E43"/>
    <w:rsid w:val="00462E87"/>
    <w:rsid w:val="004635B1"/>
    <w:rsid w:val="00463D43"/>
    <w:rsid w:val="0046433A"/>
    <w:rsid w:val="004649F4"/>
    <w:rsid w:val="004651BF"/>
    <w:rsid w:val="0046536F"/>
    <w:rsid w:val="00466036"/>
    <w:rsid w:val="004660B6"/>
    <w:rsid w:val="004666EA"/>
    <w:rsid w:val="004667AE"/>
    <w:rsid w:val="0046690A"/>
    <w:rsid w:val="00466A8D"/>
    <w:rsid w:val="00466E88"/>
    <w:rsid w:val="00466FCE"/>
    <w:rsid w:val="00467013"/>
    <w:rsid w:val="0046792E"/>
    <w:rsid w:val="00467CFA"/>
    <w:rsid w:val="004703D7"/>
    <w:rsid w:val="004726CB"/>
    <w:rsid w:val="00472A40"/>
    <w:rsid w:val="00473D99"/>
    <w:rsid w:val="00473F1A"/>
    <w:rsid w:val="00474FCC"/>
    <w:rsid w:val="004753FD"/>
    <w:rsid w:val="00476F7A"/>
    <w:rsid w:val="00476FE8"/>
    <w:rsid w:val="00476FFB"/>
    <w:rsid w:val="0047766B"/>
    <w:rsid w:val="00477A2E"/>
    <w:rsid w:val="00477D13"/>
    <w:rsid w:val="00477DF2"/>
    <w:rsid w:val="004804AF"/>
    <w:rsid w:val="0048099F"/>
    <w:rsid w:val="004819AD"/>
    <w:rsid w:val="00482294"/>
    <w:rsid w:val="004826AA"/>
    <w:rsid w:val="00482D1A"/>
    <w:rsid w:val="00482D41"/>
    <w:rsid w:val="00482DDF"/>
    <w:rsid w:val="00484F7F"/>
    <w:rsid w:val="004850B4"/>
    <w:rsid w:val="004855D1"/>
    <w:rsid w:val="00485AAF"/>
    <w:rsid w:val="0048684B"/>
    <w:rsid w:val="00487102"/>
    <w:rsid w:val="004877E0"/>
    <w:rsid w:val="004878FA"/>
    <w:rsid w:val="00491B02"/>
    <w:rsid w:val="00491C53"/>
    <w:rsid w:val="00491D90"/>
    <w:rsid w:val="00491E82"/>
    <w:rsid w:val="004923A5"/>
    <w:rsid w:val="00492706"/>
    <w:rsid w:val="00492B6C"/>
    <w:rsid w:val="004930B8"/>
    <w:rsid w:val="00493632"/>
    <w:rsid w:val="004936DD"/>
    <w:rsid w:val="004942F4"/>
    <w:rsid w:val="004943CB"/>
    <w:rsid w:val="00494703"/>
    <w:rsid w:val="00494817"/>
    <w:rsid w:val="00494E9D"/>
    <w:rsid w:val="00495020"/>
    <w:rsid w:val="00495762"/>
    <w:rsid w:val="00495ACE"/>
    <w:rsid w:val="00496406"/>
    <w:rsid w:val="0049696E"/>
    <w:rsid w:val="004971F4"/>
    <w:rsid w:val="00497351"/>
    <w:rsid w:val="00497707"/>
    <w:rsid w:val="004979A0"/>
    <w:rsid w:val="004979D9"/>
    <w:rsid w:val="004A0F35"/>
    <w:rsid w:val="004A130F"/>
    <w:rsid w:val="004A15A4"/>
    <w:rsid w:val="004A16E7"/>
    <w:rsid w:val="004A36B7"/>
    <w:rsid w:val="004A4BBE"/>
    <w:rsid w:val="004A5088"/>
    <w:rsid w:val="004A7232"/>
    <w:rsid w:val="004A75DB"/>
    <w:rsid w:val="004A76A8"/>
    <w:rsid w:val="004A7828"/>
    <w:rsid w:val="004A7E8C"/>
    <w:rsid w:val="004B05DF"/>
    <w:rsid w:val="004B1311"/>
    <w:rsid w:val="004B1C7C"/>
    <w:rsid w:val="004B21C8"/>
    <w:rsid w:val="004B28BC"/>
    <w:rsid w:val="004B2D5C"/>
    <w:rsid w:val="004B2E6D"/>
    <w:rsid w:val="004B32F7"/>
    <w:rsid w:val="004B3681"/>
    <w:rsid w:val="004B372B"/>
    <w:rsid w:val="004B465C"/>
    <w:rsid w:val="004B4A7C"/>
    <w:rsid w:val="004B5AF7"/>
    <w:rsid w:val="004B5B23"/>
    <w:rsid w:val="004B5E80"/>
    <w:rsid w:val="004B5FD9"/>
    <w:rsid w:val="004B608A"/>
    <w:rsid w:val="004B65A0"/>
    <w:rsid w:val="004B65F7"/>
    <w:rsid w:val="004B6C18"/>
    <w:rsid w:val="004B6F0A"/>
    <w:rsid w:val="004B7339"/>
    <w:rsid w:val="004B796D"/>
    <w:rsid w:val="004C01F8"/>
    <w:rsid w:val="004C05E4"/>
    <w:rsid w:val="004C077F"/>
    <w:rsid w:val="004C0ED1"/>
    <w:rsid w:val="004C22EE"/>
    <w:rsid w:val="004C24AB"/>
    <w:rsid w:val="004C26DE"/>
    <w:rsid w:val="004C2A0B"/>
    <w:rsid w:val="004C2EDC"/>
    <w:rsid w:val="004C373A"/>
    <w:rsid w:val="004C4D17"/>
    <w:rsid w:val="004C50A0"/>
    <w:rsid w:val="004C50C1"/>
    <w:rsid w:val="004C53B2"/>
    <w:rsid w:val="004C5531"/>
    <w:rsid w:val="004C5D81"/>
    <w:rsid w:val="004C5F13"/>
    <w:rsid w:val="004C6181"/>
    <w:rsid w:val="004C67A7"/>
    <w:rsid w:val="004C6F96"/>
    <w:rsid w:val="004C77B5"/>
    <w:rsid w:val="004C7992"/>
    <w:rsid w:val="004C7B06"/>
    <w:rsid w:val="004C7CBF"/>
    <w:rsid w:val="004C7E7C"/>
    <w:rsid w:val="004D0366"/>
    <w:rsid w:val="004D07E2"/>
    <w:rsid w:val="004D0B98"/>
    <w:rsid w:val="004D0EF7"/>
    <w:rsid w:val="004D143E"/>
    <w:rsid w:val="004D1813"/>
    <w:rsid w:val="004D275A"/>
    <w:rsid w:val="004D2B53"/>
    <w:rsid w:val="004D365C"/>
    <w:rsid w:val="004D3C00"/>
    <w:rsid w:val="004D4662"/>
    <w:rsid w:val="004D4F5D"/>
    <w:rsid w:val="004D51E2"/>
    <w:rsid w:val="004D5411"/>
    <w:rsid w:val="004D5E0A"/>
    <w:rsid w:val="004D6523"/>
    <w:rsid w:val="004D6823"/>
    <w:rsid w:val="004D6C1D"/>
    <w:rsid w:val="004D6D5F"/>
    <w:rsid w:val="004D77CB"/>
    <w:rsid w:val="004D7AE7"/>
    <w:rsid w:val="004E01CA"/>
    <w:rsid w:val="004E101E"/>
    <w:rsid w:val="004E1AD4"/>
    <w:rsid w:val="004E1DF1"/>
    <w:rsid w:val="004E2820"/>
    <w:rsid w:val="004E2B21"/>
    <w:rsid w:val="004E4848"/>
    <w:rsid w:val="004E4F60"/>
    <w:rsid w:val="004E5A5A"/>
    <w:rsid w:val="004E6DA7"/>
    <w:rsid w:val="004E6E5C"/>
    <w:rsid w:val="004E798C"/>
    <w:rsid w:val="004E7FAC"/>
    <w:rsid w:val="004F021E"/>
    <w:rsid w:val="004F05E2"/>
    <w:rsid w:val="004F11BA"/>
    <w:rsid w:val="004F1750"/>
    <w:rsid w:val="004F17A9"/>
    <w:rsid w:val="004F1E4E"/>
    <w:rsid w:val="004F224C"/>
    <w:rsid w:val="004F3C75"/>
    <w:rsid w:val="004F4DFB"/>
    <w:rsid w:val="004F52DF"/>
    <w:rsid w:val="004F5A4D"/>
    <w:rsid w:val="004F6684"/>
    <w:rsid w:val="004F6B08"/>
    <w:rsid w:val="004F6CF5"/>
    <w:rsid w:val="004F7315"/>
    <w:rsid w:val="004F73AE"/>
    <w:rsid w:val="00500C0B"/>
    <w:rsid w:val="00500E00"/>
    <w:rsid w:val="005010D0"/>
    <w:rsid w:val="005018A9"/>
    <w:rsid w:val="00501C69"/>
    <w:rsid w:val="005022A3"/>
    <w:rsid w:val="00503175"/>
    <w:rsid w:val="0050351A"/>
    <w:rsid w:val="00503A1C"/>
    <w:rsid w:val="005040BB"/>
    <w:rsid w:val="00504F64"/>
    <w:rsid w:val="005050D2"/>
    <w:rsid w:val="00505142"/>
    <w:rsid w:val="0050539F"/>
    <w:rsid w:val="005054AE"/>
    <w:rsid w:val="00505696"/>
    <w:rsid w:val="00505B8C"/>
    <w:rsid w:val="00506D3C"/>
    <w:rsid w:val="0050780E"/>
    <w:rsid w:val="005106DA"/>
    <w:rsid w:val="005111E6"/>
    <w:rsid w:val="005116EA"/>
    <w:rsid w:val="005116EE"/>
    <w:rsid w:val="005128BB"/>
    <w:rsid w:val="00512CEA"/>
    <w:rsid w:val="00513389"/>
    <w:rsid w:val="00513630"/>
    <w:rsid w:val="005136DE"/>
    <w:rsid w:val="00513AD8"/>
    <w:rsid w:val="00513B93"/>
    <w:rsid w:val="005147AE"/>
    <w:rsid w:val="0051483B"/>
    <w:rsid w:val="00514B2D"/>
    <w:rsid w:val="00515652"/>
    <w:rsid w:val="00515A1F"/>
    <w:rsid w:val="00515CA8"/>
    <w:rsid w:val="00516C58"/>
    <w:rsid w:val="00516C75"/>
    <w:rsid w:val="00517ACF"/>
    <w:rsid w:val="0052078E"/>
    <w:rsid w:val="00520D6E"/>
    <w:rsid w:val="0052189D"/>
    <w:rsid w:val="0052260A"/>
    <w:rsid w:val="005228CF"/>
    <w:rsid w:val="00522915"/>
    <w:rsid w:val="00523C2B"/>
    <w:rsid w:val="00523C50"/>
    <w:rsid w:val="0052405A"/>
    <w:rsid w:val="00524990"/>
    <w:rsid w:val="00524D70"/>
    <w:rsid w:val="00525589"/>
    <w:rsid w:val="00525BA7"/>
    <w:rsid w:val="00525C3D"/>
    <w:rsid w:val="00525F77"/>
    <w:rsid w:val="005263CD"/>
    <w:rsid w:val="005265B8"/>
    <w:rsid w:val="00526CED"/>
    <w:rsid w:val="005274D3"/>
    <w:rsid w:val="0052759D"/>
    <w:rsid w:val="00527C60"/>
    <w:rsid w:val="00530258"/>
    <w:rsid w:val="005305D5"/>
    <w:rsid w:val="005306FF"/>
    <w:rsid w:val="00530E9B"/>
    <w:rsid w:val="005319B2"/>
    <w:rsid w:val="00532087"/>
    <w:rsid w:val="00533705"/>
    <w:rsid w:val="00533C8F"/>
    <w:rsid w:val="00533F35"/>
    <w:rsid w:val="00534006"/>
    <w:rsid w:val="00534014"/>
    <w:rsid w:val="00534658"/>
    <w:rsid w:val="00534701"/>
    <w:rsid w:val="00534820"/>
    <w:rsid w:val="0053509F"/>
    <w:rsid w:val="00536698"/>
    <w:rsid w:val="00536A13"/>
    <w:rsid w:val="00537887"/>
    <w:rsid w:val="005379C7"/>
    <w:rsid w:val="00537D18"/>
    <w:rsid w:val="00540517"/>
    <w:rsid w:val="005406A4"/>
    <w:rsid w:val="00540C08"/>
    <w:rsid w:val="00540F63"/>
    <w:rsid w:val="00541417"/>
    <w:rsid w:val="00541D86"/>
    <w:rsid w:val="00542080"/>
    <w:rsid w:val="00542AC4"/>
    <w:rsid w:val="00543CE0"/>
    <w:rsid w:val="00543FFE"/>
    <w:rsid w:val="0054419A"/>
    <w:rsid w:val="00544688"/>
    <w:rsid w:val="005449AE"/>
    <w:rsid w:val="00544AA1"/>
    <w:rsid w:val="00544FBC"/>
    <w:rsid w:val="00545861"/>
    <w:rsid w:val="00545F0D"/>
    <w:rsid w:val="00546482"/>
    <w:rsid w:val="00546B3F"/>
    <w:rsid w:val="00546F23"/>
    <w:rsid w:val="00546F7D"/>
    <w:rsid w:val="0054715A"/>
    <w:rsid w:val="00547194"/>
    <w:rsid w:val="00547215"/>
    <w:rsid w:val="0055003A"/>
    <w:rsid w:val="005508B1"/>
    <w:rsid w:val="00550A1F"/>
    <w:rsid w:val="005513A1"/>
    <w:rsid w:val="00551580"/>
    <w:rsid w:val="005520A7"/>
    <w:rsid w:val="0055210C"/>
    <w:rsid w:val="00552819"/>
    <w:rsid w:val="00552AD3"/>
    <w:rsid w:val="00552B77"/>
    <w:rsid w:val="00553727"/>
    <w:rsid w:val="005537A8"/>
    <w:rsid w:val="00553A54"/>
    <w:rsid w:val="00554231"/>
    <w:rsid w:val="005548AF"/>
    <w:rsid w:val="005553AD"/>
    <w:rsid w:val="005558B9"/>
    <w:rsid w:val="00555E63"/>
    <w:rsid w:val="00556184"/>
    <w:rsid w:val="00556725"/>
    <w:rsid w:val="005568BC"/>
    <w:rsid w:val="00557194"/>
    <w:rsid w:val="0055781E"/>
    <w:rsid w:val="005605B3"/>
    <w:rsid w:val="00560945"/>
    <w:rsid w:val="00560A67"/>
    <w:rsid w:val="00561587"/>
    <w:rsid w:val="005616E5"/>
    <w:rsid w:val="00561C8A"/>
    <w:rsid w:val="005622F0"/>
    <w:rsid w:val="0056250E"/>
    <w:rsid w:val="00562A42"/>
    <w:rsid w:val="00564A5C"/>
    <w:rsid w:val="00565243"/>
    <w:rsid w:val="00565577"/>
    <w:rsid w:val="005656C8"/>
    <w:rsid w:val="005656D6"/>
    <w:rsid w:val="00565812"/>
    <w:rsid w:val="005660A4"/>
    <w:rsid w:val="005663AF"/>
    <w:rsid w:val="005672B8"/>
    <w:rsid w:val="0056787A"/>
    <w:rsid w:val="00567E97"/>
    <w:rsid w:val="005704FA"/>
    <w:rsid w:val="0057086B"/>
    <w:rsid w:val="00570C6A"/>
    <w:rsid w:val="00570CB5"/>
    <w:rsid w:val="00570EE0"/>
    <w:rsid w:val="00570F9D"/>
    <w:rsid w:val="00572843"/>
    <w:rsid w:val="00572A9D"/>
    <w:rsid w:val="005735B1"/>
    <w:rsid w:val="00573F2A"/>
    <w:rsid w:val="00574AE9"/>
    <w:rsid w:val="00575462"/>
    <w:rsid w:val="00575FBD"/>
    <w:rsid w:val="00576059"/>
    <w:rsid w:val="0057613D"/>
    <w:rsid w:val="00576478"/>
    <w:rsid w:val="00576502"/>
    <w:rsid w:val="00576516"/>
    <w:rsid w:val="00576790"/>
    <w:rsid w:val="00576AA4"/>
    <w:rsid w:val="00577005"/>
    <w:rsid w:val="00577A34"/>
    <w:rsid w:val="00577DB2"/>
    <w:rsid w:val="00580332"/>
    <w:rsid w:val="00580377"/>
    <w:rsid w:val="005834F4"/>
    <w:rsid w:val="00583657"/>
    <w:rsid w:val="00584475"/>
    <w:rsid w:val="00586128"/>
    <w:rsid w:val="005877A9"/>
    <w:rsid w:val="00587800"/>
    <w:rsid w:val="00587867"/>
    <w:rsid w:val="00587E80"/>
    <w:rsid w:val="00591BDD"/>
    <w:rsid w:val="00591DB2"/>
    <w:rsid w:val="00591F59"/>
    <w:rsid w:val="005925B9"/>
    <w:rsid w:val="00593690"/>
    <w:rsid w:val="00593BBB"/>
    <w:rsid w:val="005948CC"/>
    <w:rsid w:val="00595752"/>
    <w:rsid w:val="005961AA"/>
    <w:rsid w:val="00596A3D"/>
    <w:rsid w:val="0059700D"/>
    <w:rsid w:val="00597614"/>
    <w:rsid w:val="00597B1E"/>
    <w:rsid w:val="00597CB1"/>
    <w:rsid w:val="00597F62"/>
    <w:rsid w:val="005A0065"/>
    <w:rsid w:val="005A0374"/>
    <w:rsid w:val="005A0CE4"/>
    <w:rsid w:val="005A1399"/>
    <w:rsid w:val="005A1F50"/>
    <w:rsid w:val="005A1FAD"/>
    <w:rsid w:val="005A219F"/>
    <w:rsid w:val="005A2463"/>
    <w:rsid w:val="005A24C1"/>
    <w:rsid w:val="005A280B"/>
    <w:rsid w:val="005A3B01"/>
    <w:rsid w:val="005A3D87"/>
    <w:rsid w:val="005A3DA7"/>
    <w:rsid w:val="005A3E7E"/>
    <w:rsid w:val="005A4044"/>
    <w:rsid w:val="005A5318"/>
    <w:rsid w:val="005A55FA"/>
    <w:rsid w:val="005A5B7F"/>
    <w:rsid w:val="005A5DF8"/>
    <w:rsid w:val="005A6D50"/>
    <w:rsid w:val="005A7001"/>
    <w:rsid w:val="005A700C"/>
    <w:rsid w:val="005A7CFA"/>
    <w:rsid w:val="005B0078"/>
    <w:rsid w:val="005B0A3B"/>
    <w:rsid w:val="005B144A"/>
    <w:rsid w:val="005B1469"/>
    <w:rsid w:val="005B17C9"/>
    <w:rsid w:val="005B1B42"/>
    <w:rsid w:val="005B2BD4"/>
    <w:rsid w:val="005B3510"/>
    <w:rsid w:val="005B40B3"/>
    <w:rsid w:val="005B4235"/>
    <w:rsid w:val="005B45B7"/>
    <w:rsid w:val="005B4DCC"/>
    <w:rsid w:val="005B539F"/>
    <w:rsid w:val="005B5D3E"/>
    <w:rsid w:val="005B64D3"/>
    <w:rsid w:val="005B7B4D"/>
    <w:rsid w:val="005C0899"/>
    <w:rsid w:val="005C1428"/>
    <w:rsid w:val="005C16E8"/>
    <w:rsid w:val="005C1765"/>
    <w:rsid w:val="005C3D6B"/>
    <w:rsid w:val="005C3EDA"/>
    <w:rsid w:val="005C4A11"/>
    <w:rsid w:val="005C5314"/>
    <w:rsid w:val="005C5406"/>
    <w:rsid w:val="005C561D"/>
    <w:rsid w:val="005C6097"/>
    <w:rsid w:val="005C6863"/>
    <w:rsid w:val="005D187E"/>
    <w:rsid w:val="005D21C6"/>
    <w:rsid w:val="005D27AF"/>
    <w:rsid w:val="005D388F"/>
    <w:rsid w:val="005D5905"/>
    <w:rsid w:val="005D6124"/>
    <w:rsid w:val="005D6527"/>
    <w:rsid w:val="005D6DEF"/>
    <w:rsid w:val="005E0298"/>
    <w:rsid w:val="005E0CF7"/>
    <w:rsid w:val="005E1027"/>
    <w:rsid w:val="005E15AB"/>
    <w:rsid w:val="005E18CB"/>
    <w:rsid w:val="005E19D4"/>
    <w:rsid w:val="005E226D"/>
    <w:rsid w:val="005E26F6"/>
    <w:rsid w:val="005E2E39"/>
    <w:rsid w:val="005E387C"/>
    <w:rsid w:val="005E4045"/>
    <w:rsid w:val="005E427F"/>
    <w:rsid w:val="005E447A"/>
    <w:rsid w:val="005E4DFA"/>
    <w:rsid w:val="005E54D7"/>
    <w:rsid w:val="005E5544"/>
    <w:rsid w:val="005E5588"/>
    <w:rsid w:val="005E5C40"/>
    <w:rsid w:val="005E62B3"/>
    <w:rsid w:val="005E796E"/>
    <w:rsid w:val="005E7991"/>
    <w:rsid w:val="005E7CD0"/>
    <w:rsid w:val="005E7CD8"/>
    <w:rsid w:val="005F0911"/>
    <w:rsid w:val="005F0B88"/>
    <w:rsid w:val="005F15D0"/>
    <w:rsid w:val="005F1C62"/>
    <w:rsid w:val="005F1C84"/>
    <w:rsid w:val="005F2767"/>
    <w:rsid w:val="005F38E5"/>
    <w:rsid w:val="005F3D15"/>
    <w:rsid w:val="005F3F00"/>
    <w:rsid w:val="005F4136"/>
    <w:rsid w:val="005F4853"/>
    <w:rsid w:val="005F497E"/>
    <w:rsid w:val="005F4F66"/>
    <w:rsid w:val="005F5C84"/>
    <w:rsid w:val="005F628D"/>
    <w:rsid w:val="005F6B92"/>
    <w:rsid w:val="005F7543"/>
    <w:rsid w:val="005F762D"/>
    <w:rsid w:val="005F7BE0"/>
    <w:rsid w:val="006003A6"/>
    <w:rsid w:val="006005CA"/>
    <w:rsid w:val="00600A80"/>
    <w:rsid w:val="00600C07"/>
    <w:rsid w:val="00601691"/>
    <w:rsid w:val="00601892"/>
    <w:rsid w:val="006018B1"/>
    <w:rsid w:val="00601F34"/>
    <w:rsid w:val="0060218F"/>
    <w:rsid w:val="00602518"/>
    <w:rsid w:val="00603838"/>
    <w:rsid w:val="00603A7E"/>
    <w:rsid w:val="00603D0B"/>
    <w:rsid w:val="006042AC"/>
    <w:rsid w:val="00604339"/>
    <w:rsid w:val="00604863"/>
    <w:rsid w:val="00605B7D"/>
    <w:rsid w:val="00606302"/>
    <w:rsid w:val="00606625"/>
    <w:rsid w:val="00606DF5"/>
    <w:rsid w:val="00606F5D"/>
    <w:rsid w:val="0060712B"/>
    <w:rsid w:val="0060725D"/>
    <w:rsid w:val="006073D0"/>
    <w:rsid w:val="006077F3"/>
    <w:rsid w:val="00607939"/>
    <w:rsid w:val="00607D84"/>
    <w:rsid w:val="00610423"/>
    <w:rsid w:val="006106BD"/>
    <w:rsid w:val="006106CF"/>
    <w:rsid w:val="00610D99"/>
    <w:rsid w:val="00611519"/>
    <w:rsid w:val="00611D4B"/>
    <w:rsid w:val="006125AE"/>
    <w:rsid w:val="00612E8E"/>
    <w:rsid w:val="00613CB3"/>
    <w:rsid w:val="00614004"/>
    <w:rsid w:val="00614652"/>
    <w:rsid w:val="00614818"/>
    <w:rsid w:val="00614A4B"/>
    <w:rsid w:val="0061549D"/>
    <w:rsid w:val="00615703"/>
    <w:rsid w:val="00615AC2"/>
    <w:rsid w:val="00615C5F"/>
    <w:rsid w:val="00615DCF"/>
    <w:rsid w:val="006163C4"/>
    <w:rsid w:val="00616527"/>
    <w:rsid w:val="00616569"/>
    <w:rsid w:val="006168A0"/>
    <w:rsid w:val="00616FC0"/>
    <w:rsid w:val="006175B1"/>
    <w:rsid w:val="006178B1"/>
    <w:rsid w:val="006201ED"/>
    <w:rsid w:val="00620229"/>
    <w:rsid w:val="00620334"/>
    <w:rsid w:val="00620593"/>
    <w:rsid w:val="006207C3"/>
    <w:rsid w:val="00620913"/>
    <w:rsid w:val="00620D80"/>
    <w:rsid w:val="006218C4"/>
    <w:rsid w:val="00621AC3"/>
    <w:rsid w:val="006226A3"/>
    <w:rsid w:val="00622F49"/>
    <w:rsid w:val="00622F7F"/>
    <w:rsid w:val="00623FBD"/>
    <w:rsid w:val="0062429E"/>
    <w:rsid w:val="00624463"/>
    <w:rsid w:val="006244A3"/>
    <w:rsid w:val="00624E0A"/>
    <w:rsid w:val="00625C72"/>
    <w:rsid w:val="00625FAC"/>
    <w:rsid w:val="00625FF9"/>
    <w:rsid w:val="006260C0"/>
    <w:rsid w:val="0062610E"/>
    <w:rsid w:val="006268EB"/>
    <w:rsid w:val="006269E7"/>
    <w:rsid w:val="006271BF"/>
    <w:rsid w:val="006303FF"/>
    <w:rsid w:val="00630C3A"/>
    <w:rsid w:val="00632037"/>
    <w:rsid w:val="006329DE"/>
    <w:rsid w:val="00632C0A"/>
    <w:rsid w:val="00632C43"/>
    <w:rsid w:val="00632D99"/>
    <w:rsid w:val="00633134"/>
    <w:rsid w:val="00633503"/>
    <w:rsid w:val="00633A3E"/>
    <w:rsid w:val="00634A07"/>
    <w:rsid w:val="00634BD2"/>
    <w:rsid w:val="00634BE8"/>
    <w:rsid w:val="00634C02"/>
    <w:rsid w:val="0063530D"/>
    <w:rsid w:val="00635DDB"/>
    <w:rsid w:val="00637F4D"/>
    <w:rsid w:val="00640672"/>
    <w:rsid w:val="006407E2"/>
    <w:rsid w:val="0064093B"/>
    <w:rsid w:val="006414EC"/>
    <w:rsid w:val="00641D25"/>
    <w:rsid w:val="00641DDE"/>
    <w:rsid w:val="0064204F"/>
    <w:rsid w:val="00642B3B"/>
    <w:rsid w:val="00642D6D"/>
    <w:rsid w:val="006430FB"/>
    <w:rsid w:val="00643B70"/>
    <w:rsid w:val="00644095"/>
    <w:rsid w:val="00645699"/>
    <w:rsid w:val="00645B4E"/>
    <w:rsid w:val="00645FE1"/>
    <w:rsid w:val="006462D5"/>
    <w:rsid w:val="00646697"/>
    <w:rsid w:val="00646882"/>
    <w:rsid w:val="00646A68"/>
    <w:rsid w:val="00646E72"/>
    <w:rsid w:val="00647178"/>
    <w:rsid w:val="006472D0"/>
    <w:rsid w:val="00647CF3"/>
    <w:rsid w:val="006507C1"/>
    <w:rsid w:val="0065103B"/>
    <w:rsid w:val="00651A04"/>
    <w:rsid w:val="0065225F"/>
    <w:rsid w:val="00653BDF"/>
    <w:rsid w:val="006540DA"/>
    <w:rsid w:val="00654502"/>
    <w:rsid w:val="006548FF"/>
    <w:rsid w:val="00654CCB"/>
    <w:rsid w:val="00654FA2"/>
    <w:rsid w:val="00656584"/>
    <w:rsid w:val="00656AC8"/>
    <w:rsid w:val="00656CDE"/>
    <w:rsid w:val="00657670"/>
    <w:rsid w:val="00657B83"/>
    <w:rsid w:val="00660636"/>
    <w:rsid w:val="00660908"/>
    <w:rsid w:val="00661449"/>
    <w:rsid w:val="006615AF"/>
    <w:rsid w:val="006623F3"/>
    <w:rsid w:val="0066350B"/>
    <w:rsid w:val="00663FFF"/>
    <w:rsid w:val="0066561C"/>
    <w:rsid w:val="00665A9E"/>
    <w:rsid w:val="00665FF4"/>
    <w:rsid w:val="00667323"/>
    <w:rsid w:val="00667AA2"/>
    <w:rsid w:val="00667DB2"/>
    <w:rsid w:val="00667E64"/>
    <w:rsid w:val="0067065F"/>
    <w:rsid w:val="00670967"/>
    <w:rsid w:val="00670B4E"/>
    <w:rsid w:val="00670B54"/>
    <w:rsid w:val="006712E3"/>
    <w:rsid w:val="0067178D"/>
    <w:rsid w:val="006719FE"/>
    <w:rsid w:val="0067270A"/>
    <w:rsid w:val="00672A10"/>
    <w:rsid w:val="006734E7"/>
    <w:rsid w:val="00673ADE"/>
    <w:rsid w:val="0067437E"/>
    <w:rsid w:val="0067596F"/>
    <w:rsid w:val="00676B30"/>
    <w:rsid w:val="00680240"/>
    <w:rsid w:val="00680A0F"/>
    <w:rsid w:val="00681771"/>
    <w:rsid w:val="00681E97"/>
    <w:rsid w:val="0068245C"/>
    <w:rsid w:val="00682E3E"/>
    <w:rsid w:val="00683278"/>
    <w:rsid w:val="006836AA"/>
    <w:rsid w:val="0068370A"/>
    <w:rsid w:val="00683867"/>
    <w:rsid w:val="00683B45"/>
    <w:rsid w:val="00683C1B"/>
    <w:rsid w:val="006843C7"/>
    <w:rsid w:val="00685317"/>
    <w:rsid w:val="00685A4F"/>
    <w:rsid w:val="0068625B"/>
    <w:rsid w:val="00686273"/>
    <w:rsid w:val="00686B22"/>
    <w:rsid w:val="00687312"/>
    <w:rsid w:val="0068732F"/>
    <w:rsid w:val="006873AA"/>
    <w:rsid w:val="006876CC"/>
    <w:rsid w:val="00690CFF"/>
    <w:rsid w:val="0069265C"/>
    <w:rsid w:val="006931A0"/>
    <w:rsid w:val="00694C41"/>
    <w:rsid w:val="00694EE8"/>
    <w:rsid w:val="00694F5D"/>
    <w:rsid w:val="0069559F"/>
    <w:rsid w:val="00695F3C"/>
    <w:rsid w:val="006967F9"/>
    <w:rsid w:val="00696F74"/>
    <w:rsid w:val="00696FF1"/>
    <w:rsid w:val="006976E0"/>
    <w:rsid w:val="00697A8B"/>
    <w:rsid w:val="00697B54"/>
    <w:rsid w:val="006A116C"/>
    <w:rsid w:val="006A1432"/>
    <w:rsid w:val="006A2E3C"/>
    <w:rsid w:val="006A374D"/>
    <w:rsid w:val="006A3C74"/>
    <w:rsid w:val="006A4857"/>
    <w:rsid w:val="006A5073"/>
    <w:rsid w:val="006A50BE"/>
    <w:rsid w:val="006A667B"/>
    <w:rsid w:val="006A6AA9"/>
    <w:rsid w:val="006A6DDD"/>
    <w:rsid w:val="006A6EDE"/>
    <w:rsid w:val="006A721E"/>
    <w:rsid w:val="006A75AD"/>
    <w:rsid w:val="006A75F3"/>
    <w:rsid w:val="006A76C1"/>
    <w:rsid w:val="006A7A5A"/>
    <w:rsid w:val="006B07B1"/>
    <w:rsid w:val="006B0A05"/>
    <w:rsid w:val="006B0C40"/>
    <w:rsid w:val="006B0D0C"/>
    <w:rsid w:val="006B122D"/>
    <w:rsid w:val="006B1998"/>
    <w:rsid w:val="006B206A"/>
    <w:rsid w:val="006B3498"/>
    <w:rsid w:val="006B3735"/>
    <w:rsid w:val="006B37BB"/>
    <w:rsid w:val="006B3A25"/>
    <w:rsid w:val="006B3A26"/>
    <w:rsid w:val="006B3A4D"/>
    <w:rsid w:val="006B3CAC"/>
    <w:rsid w:val="006B4A6A"/>
    <w:rsid w:val="006B5DED"/>
    <w:rsid w:val="006B5FE7"/>
    <w:rsid w:val="006B6598"/>
    <w:rsid w:val="006B6631"/>
    <w:rsid w:val="006B6EE6"/>
    <w:rsid w:val="006B7667"/>
    <w:rsid w:val="006C0042"/>
    <w:rsid w:val="006C0406"/>
    <w:rsid w:val="006C10A6"/>
    <w:rsid w:val="006C1892"/>
    <w:rsid w:val="006C1BEC"/>
    <w:rsid w:val="006C1FC1"/>
    <w:rsid w:val="006C2476"/>
    <w:rsid w:val="006C24F7"/>
    <w:rsid w:val="006C2858"/>
    <w:rsid w:val="006C28B3"/>
    <w:rsid w:val="006C31BD"/>
    <w:rsid w:val="006C3AF6"/>
    <w:rsid w:val="006C5055"/>
    <w:rsid w:val="006C57C0"/>
    <w:rsid w:val="006C6127"/>
    <w:rsid w:val="006C6623"/>
    <w:rsid w:val="006C6F90"/>
    <w:rsid w:val="006C742D"/>
    <w:rsid w:val="006C7630"/>
    <w:rsid w:val="006C7733"/>
    <w:rsid w:val="006C7D0C"/>
    <w:rsid w:val="006C7F68"/>
    <w:rsid w:val="006C7FF9"/>
    <w:rsid w:val="006D0386"/>
    <w:rsid w:val="006D049B"/>
    <w:rsid w:val="006D07BD"/>
    <w:rsid w:val="006D087B"/>
    <w:rsid w:val="006D0889"/>
    <w:rsid w:val="006D0E5A"/>
    <w:rsid w:val="006D110C"/>
    <w:rsid w:val="006D149A"/>
    <w:rsid w:val="006D20EA"/>
    <w:rsid w:val="006D23E0"/>
    <w:rsid w:val="006D27D5"/>
    <w:rsid w:val="006D295C"/>
    <w:rsid w:val="006D2BEF"/>
    <w:rsid w:val="006D47E7"/>
    <w:rsid w:val="006D4A8D"/>
    <w:rsid w:val="006D4DBC"/>
    <w:rsid w:val="006D525A"/>
    <w:rsid w:val="006D60F6"/>
    <w:rsid w:val="006D69E4"/>
    <w:rsid w:val="006D73DE"/>
    <w:rsid w:val="006D751B"/>
    <w:rsid w:val="006D7C91"/>
    <w:rsid w:val="006E006D"/>
    <w:rsid w:val="006E00E4"/>
    <w:rsid w:val="006E014B"/>
    <w:rsid w:val="006E03B9"/>
    <w:rsid w:val="006E04B5"/>
    <w:rsid w:val="006E0889"/>
    <w:rsid w:val="006E0AF8"/>
    <w:rsid w:val="006E0C2C"/>
    <w:rsid w:val="006E15A2"/>
    <w:rsid w:val="006E21F9"/>
    <w:rsid w:val="006E2720"/>
    <w:rsid w:val="006E2C7E"/>
    <w:rsid w:val="006E2F09"/>
    <w:rsid w:val="006E3256"/>
    <w:rsid w:val="006E33A0"/>
    <w:rsid w:val="006E373A"/>
    <w:rsid w:val="006E38C2"/>
    <w:rsid w:val="006E3C2C"/>
    <w:rsid w:val="006E3F15"/>
    <w:rsid w:val="006E40A9"/>
    <w:rsid w:val="006E49CD"/>
    <w:rsid w:val="006E4F29"/>
    <w:rsid w:val="006E4F72"/>
    <w:rsid w:val="006E5015"/>
    <w:rsid w:val="006E504C"/>
    <w:rsid w:val="006E5770"/>
    <w:rsid w:val="006E6256"/>
    <w:rsid w:val="006E678B"/>
    <w:rsid w:val="006E799F"/>
    <w:rsid w:val="006F07FB"/>
    <w:rsid w:val="006F0913"/>
    <w:rsid w:val="006F161D"/>
    <w:rsid w:val="006F1793"/>
    <w:rsid w:val="006F1ADA"/>
    <w:rsid w:val="006F1B71"/>
    <w:rsid w:val="006F1E15"/>
    <w:rsid w:val="006F302F"/>
    <w:rsid w:val="006F3457"/>
    <w:rsid w:val="006F3475"/>
    <w:rsid w:val="006F3654"/>
    <w:rsid w:val="006F411E"/>
    <w:rsid w:val="006F476E"/>
    <w:rsid w:val="006F5E74"/>
    <w:rsid w:val="006F5EE3"/>
    <w:rsid w:val="006F6366"/>
    <w:rsid w:val="006F67DD"/>
    <w:rsid w:val="006F6925"/>
    <w:rsid w:val="0070013D"/>
    <w:rsid w:val="007003FE"/>
    <w:rsid w:val="007004D7"/>
    <w:rsid w:val="007010D2"/>
    <w:rsid w:val="00701271"/>
    <w:rsid w:val="0070134C"/>
    <w:rsid w:val="00701D19"/>
    <w:rsid w:val="00701F03"/>
    <w:rsid w:val="00701F3B"/>
    <w:rsid w:val="00701F49"/>
    <w:rsid w:val="0070285A"/>
    <w:rsid w:val="00702B4B"/>
    <w:rsid w:val="00702FAB"/>
    <w:rsid w:val="00703B0F"/>
    <w:rsid w:val="00704296"/>
    <w:rsid w:val="00704CD6"/>
    <w:rsid w:val="00704DAD"/>
    <w:rsid w:val="007061A7"/>
    <w:rsid w:val="00706572"/>
    <w:rsid w:val="00706ECC"/>
    <w:rsid w:val="007079EE"/>
    <w:rsid w:val="007103A4"/>
    <w:rsid w:val="0071062B"/>
    <w:rsid w:val="00710FC8"/>
    <w:rsid w:val="0071128C"/>
    <w:rsid w:val="00711984"/>
    <w:rsid w:val="00712028"/>
    <w:rsid w:val="007120AC"/>
    <w:rsid w:val="007121AC"/>
    <w:rsid w:val="0071279E"/>
    <w:rsid w:val="00713708"/>
    <w:rsid w:val="0071409B"/>
    <w:rsid w:val="00714862"/>
    <w:rsid w:val="0071491D"/>
    <w:rsid w:val="00715145"/>
    <w:rsid w:val="0071544B"/>
    <w:rsid w:val="00715B98"/>
    <w:rsid w:val="00715FE5"/>
    <w:rsid w:val="0071670F"/>
    <w:rsid w:val="007167EE"/>
    <w:rsid w:val="007169D8"/>
    <w:rsid w:val="007201E9"/>
    <w:rsid w:val="0072053D"/>
    <w:rsid w:val="00720F61"/>
    <w:rsid w:val="00721376"/>
    <w:rsid w:val="00721BE6"/>
    <w:rsid w:val="00722934"/>
    <w:rsid w:val="00722993"/>
    <w:rsid w:val="00722AB6"/>
    <w:rsid w:val="00722F3A"/>
    <w:rsid w:val="00724592"/>
    <w:rsid w:val="00724DCB"/>
    <w:rsid w:val="00725666"/>
    <w:rsid w:val="007258A3"/>
    <w:rsid w:val="00725927"/>
    <w:rsid w:val="00726190"/>
    <w:rsid w:val="00726AAD"/>
    <w:rsid w:val="007270B2"/>
    <w:rsid w:val="00727430"/>
    <w:rsid w:val="00727BB0"/>
    <w:rsid w:val="00730116"/>
    <w:rsid w:val="0073015D"/>
    <w:rsid w:val="007309AD"/>
    <w:rsid w:val="00730C94"/>
    <w:rsid w:val="00730E9F"/>
    <w:rsid w:val="007311C8"/>
    <w:rsid w:val="00731582"/>
    <w:rsid w:val="00732927"/>
    <w:rsid w:val="00732E74"/>
    <w:rsid w:val="00733227"/>
    <w:rsid w:val="00733B86"/>
    <w:rsid w:val="00734296"/>
    <w:rsid w:val="00734623"/>
    <w:rsid w:val="00734951"/>
    <w:rsid w:val="00734F11"/>
    <w:rsid w:val="0073510D"/>
    <w:rsid w:val="00735675"/>
    <w:rsid w:val="00735DB3"/>
    <w:rsid w:val="00737645"/>
    <w:rsid w:val="00737A8D"/>
    <w:rsid w:val="00737B43"/>
    <w:rsid w:val="00737D47"/>
    <w:rsid w:val="00740AB2"/>
    <w:rsid w:val="00740AFD"/>
    <w:rsid w:val="0074273A"/>
    <w:rsid w:val="00742779"/>
    <w:rsid w:val="00742D50"/>
    <w:rsid w:val="00743B0B"/>
    <w:rsid w:val="00743E4F"/>
    <w:rsid w:val="0074448E"/>
    <w:rsid w:val="00745A0C"/>
    <w:rsid w:val="007464BD"/>
    <w:rsid w:val="00746B8D"/>
    <w:rsid w:val="00746FB9"/>
    <w:rsid w:val="00747889"/>
    <w:rsid w:val="007479F7"/>
    <w:rsid w:val="00751308"/>
    <w:rsid w:val="0075134B"/>
    <w:rsid w:val="00752B9C"/>
    <w:rsid w:val="007535A8"/>
    <w:rsid w:val="00753B72"/>
    <w:rsid w:val="00753DFF"/>
    <w:rsid w:val="0075431A"/>
    <w:rsid w:val="007549DF"/>
    <w:rsid w:val="0075541B"/>
    <w:rsid w:val="0075569C"/>
    <w:rsid w:val="00756362"/>
    <w:rsid w:val="007566C3"/>
    <w:rsid w:val="0075712D"/>
    <w:rsid w:val="007577CA"/>
    <w:rsid w:val="0076032C"/>
    <w:rsid w:val="00760CD4"/>
    <w:rsid w:val="00761423"/>
    <w:rsid w:val="00761D37"/>
    <w:rsid w:val="0076227C"/>
    <w:rsid w:val="00762549"/>
    <w:rsid w:val="00762650"/>
    <w:rsid w:val="0076299E"/>
    <w:rsid w:val="007641A4"/>
    <w:rsid w:val="007656EC"/>
    <w:rsid w:val="00765BC8"/>
    <w:rsid w:val="00766087"/>
    <w:rsid w:val="00767609"/>
    <w:rsid w:val="00767CEC"/>
    <w:rsid w:val="0076A4E2"/>
    <w:rsid w:val="007707E3"/>
    <w:rsid w:val="00770F29"/>
    <w:rsid w:val="0077189B"/>
    <w:rsid w:val="0077395F"/>
    <w:rsid w:val="00773FBD"/>
    <w:rsid w:val="007740DE"/>
    <w:rsid w:val="00774224"/>
    <w:rsid w:val="00774370"/>
    <w:rsid w:val="00775CFA"/>
    <w:rsid w:val="00776045"/>
    <w:rsid w:val="00776773"/>
    <w:rsid w:val="007769CC"/>
    <w:rsid w:val="00776BCF"/>
    <w:rsid w:val="00777106"/>
    <w:rsid w:val="00777832"/>
    <w:rsid w:val="00777DAC"/>
    <w:rsid w:val="00780155"/>
    <w:rsid w:val="00781470"/>
    <w:rsid w:val="00781885"/>
    <w:rsid w:val="00781919"/>
    <w:rsid w:val="00781A61"/>
    <w:rsid w:val="00781CBA"/>
    <w:rsid w:val="00781F31"/>
    <w:rsid w:val="00782B4E"/>
    <w:rsid w:val="00783025"/>
    <w:rsid w:val="0078309A"/>
    <w:rsid w:val="00783868"/>
    <w:rsid w:val="007840A1"/>
    <w:rsid w:val="00784D3C"/>
    <w:rsid w:val="00784F91"/>
    <w:rsid w:val="00785099"/>
    <w:rsid w:val="007852C5"/>
    <w:rsid w:val="007855EA"/>
    <w:rsid w:val="00786585"/>
    <w:rsid w:val="00786F5C"/>
    <w:rsid w:val="00787622"/>
    <w:rsid w:val="007901C6"/>
    <w:rsid w:val="00790C28"/>
    <w:rsid w:val="00790FCC"/>
    <w:rsid w:val="0079174A"/>
    <w:rsid w:val="00792BE6"/>
    <w:rsid w:val="00793276"/>
    <w:rsid w:val="00793BEE"/>
    <w:rsid w:val="00794950"/>
    <w:rsid w:val="0079606F"/>
    <w:rsid w:val="007963E6"/>
    <w:rsid w:val="00796E0A"/>
    <w:rsid w:val="00796F2F"/>
    <w:rsid w:val="00797072"/>
    <w:rsid w:val="00797632"/>
    <w:rsid w:val="007A01CC"/>
    <w:rsid w:val="007A0267"/>
    <w:rsid w:val="007A054A"/>
    <w:rsid w:val="007A10CC"/>
    <w:rsid w:val="007A1184"/>
    <w:rsid w:val="007A18B8"/>
    <w:rsid w:val="007A1C5C"/>
    <w:rsid w:val="007A1CED"/>
    <w:rsid w:val="007A33B7"/>
    <w:rsid w:val="007A39D5"/>
    <w:rsid w:val="007A3CDF"/>
    <w:rsid w:val="007A4107"/>
    <w:rsid w:val="007A4954"/>
    <w:rsid w:val="007A5822"/>
    <w:rsid w:val="007A5D7F"/>
    <w:rsid w:val="007A60E0"/>
    <w:rsid w:val="007A6657"/>
    <w:rsid w:val="007A6810"/>
    <w:rsid w:val="007A6A1F"/>
    <w:rsid w:val="007A6BC0"/>
    <w:rsid w:val="007A6E09"/>
    <w:rsid w:val="007A7176"/>
    <w:rsid w:val="007A7E85"/>
    <w:rsid w:val="007B096D"/>
    <w:rsid w:val="007B0BE2"/>
    <w:rsid w:val="007B1219"/>
    <w:rsid w:val="007B1FC7"/>
    <w:rsid w:val="007B22C0"/>
    <w:rsid w:val="007B257C"/>
    <w:rsid w:val="007B27BE"/>
    <w:rsid w:val="007B2F1F"/>
    <w:rsid w:val="007B3FB3"/>
    <w:rsid w:val="007B4C0A"/>
    <w:rsid w:val="007B4F3E"/>
    <w:rsid w:val="007B64C2"/>
    <w:rsid w:val="007B6B10"/>
    <w:rsid w:val="007B6C24"/>
    <w:rsid w:val="007B6D89"/>
    <w:rsid w:val="007B7C4E"/>
    <w:rsid w:val="007B7D66"/>
    <w:rsid w:val="007C1042"/>
    <w:rsid w:val="007C19B9"/>
    <w:rsid w:val="007C1B4A"/>
    <w:rsid w:val="007C1E3E"/>
    <w:rsid w:val="007C2224"/>
    <w:rsid w:val="007C25E0"/>
    <w:rsid w:val="007C29C4"/>
    <w:rsid w:val="007C41D8"/>
    <w:rsid w:val="007C5740"/>
    <w:rsid w:val="007C67A5"/>
    <w:rsid w:val="007C6875"/>
    <w:rsid w:val="007C793A"/>
    <w:rsid w:val="007C7990"/>
    <w:rsid w:val="007C7BE1"/>
    <w:rsid w:val="007C7CCD"/>
    <w:rsid w:val="007CE07E"/>
    <w:rsid w:val="007D0057"/>
    <w:rsid w:val="007D01B6"/>
    <w:rsid w:val="007D03DA"/>
    <w:rsid w:val="007D0A0E"/>
    <w:rsid w:val="007D0A61"/>
    <w:rsid w:val="007D0A9E"/>
    <w:rsid w:val="007D0FBA"/>
    <w:rsid w:val="007D113D"/>
    <w:rsid w:val="007D11B6"/>
    <w:rsid w:val="007D1384"/>
    <w:rsid w:val="007D17EE"/>
    <w:rsid w:val="007D1D43"/>
    <w:rsid w:val="007D2A6C"/>
    <w:rsid w:val="007D2D7B"/>
    <w:rsid w:val="007D2E53"/>
    <w:rsid w:val="007D3866"/>
    <w:rsid w:val="007D38D8"/>
    <w:rsid w:val="007D398C"/>
    <w:rsid w:val="007D3FA8"/>
    <w:rsid w:val="007D3FCF"/>
    <w:rsid w:val="007D477B"/>
    <w:rsid w:val="007D52BD"/>
    <w:rsid w:val="007D5670"/>
    <w:rsid w:val="007D5E19"/>
    <w:rsid w:val="007D6C0D"/>
    <w:rsid w:val="007D745B"/>
    <w:rsid w:val="007E0345"/>
    <w:rsid w:val="007E13BF"/>
    <w:rsid w:val="007E215C"/>
    <w:rsid w:val="007E2197"/>
    <w:rsid w:val="007E28A8"/>
    <w:rsid w:val="007E2C7C"/>
    <w:rsid w:val="007E30FD"/>
    <w:rsid w:val="007E327A"/>
    <w:rsid w:val="007E3295"/>
    <w:rsid w:val="007E4593"/>
    <w:rsid w:val="007E4898"/>
    <w:rsid w:val="007E489D"/>
    <w:rsid w:val="007E4E2F"/>
    <w:rsid w:val="007E50FD"/>
    <w:rsid w:val="007E6216"/>
    <w:rsid w:val="007E72BD"/>
    <w:rsid w:val="007E76A2"/>
    <w:rsid w:val="007E7AA0"/>
    <w:rsid w:val="007F0472"/>
    <w:rsid w:val="007F069E"/>
    <w:rsid w:val="007F0766"/>
    <w:rsid w:val="007F092A"/>
    <w:rsid w:val="007F0FED"/>
    <w:rsid w:val="007F1A83"/>
    <w:rsid w:val="007F2BE2"/>
    <w:rsid w:val="007F301C"/>
    <w:rsid w:val="007F30A8"/>
    <w:rsid w:val="007F3AC0"/>
    <w:rsid w:val="007F3FF7"/>
    <w:rsid w:val="00800940"/>
    <w:rsid w:val="00800AD0"/>
    <w:rsid w:val="00800DCC"/>
    <w:rsid w:val="00801139"/>
    <w:rsid w:val="00801D7A"/>
    <w:rsid w:val="008022E6"/>
    <w:rsid w:val="00802C0E"/>
    <w:rsid w:val="00803779"/>
    <w:rsid w:val="008043D1"/>
    <w:rsid w:val="008047D2"/>
    <w:rsid w:val="00804BEB"/>
    <w:rsid w:val="008067B7"/>
    <w:rsid w:val="00807519"/>
    <w:rsid w:val="00807763"/>
    <w:rsid w:val="00807BBD"/>
    <w:rsid w:val="00810AE4"/>
    <w:rsid w:val="00810C49"/>
    <w:rsid w:val="00810C6A"/>
    <w:rsid w:val="00810DA6"/>
    <w:rsid w:val="00811AAF"/>
    <w:rsid w:val="00811EFE"/>
    <w:rsid w:val="00812298"/>
    <w:rsid w:val="008127DF"/>
    <w:rsid w:val="00812963"/>
    <w:rsid w:val="00812B83"/>
    <w:rsid w:val="008132E5"/>
    <w:rsid w:val="008139BA"/>
    <w:rsid w:val="0081476B"/>
    <w:rsid w:val="00814991"/>
    <w:rsid w:val="00814C1A"/>
    <w:rsid w:val="00814FBB"/>
    <w:rsid w:val="00815287"/>
    <w:rsid w:val="00815865"/>
    <w:rsid w:val="00817C2E"/>
    <w:rsid w:val="00820E7A"/>
    <w:rsid w:val="00821D1D"/>
    <w:rsid w:val="008227A2"/>
    <w:rsid w:val="00823A23"/>
    <w:rsid w:val="0082413C"/>
    <w:rsid w:val="00826F87"/>
    <w:rsid w:val="00827100"/>
    <w:rsid w:val="008271C7"/>
    <w:rsid w:val="00827B64"/>
    <w:rsid w:val="00827FF9"/>
    <w:rsid w:val="008300DB"/>
    <w:rsid w:val="00830280"/>
    <w:rsid w:val="00830316"/>
    <w:rsid w:val="00830353"/>
    <w:rsid w:val="00830393"/>
    <w:rsid w:val="008306C7"/>
    <w:rsid w:val="00830DBE"/>
    <w:rsid w:val="00830F3E"/>
    <w:rsid w:val="0083180F"/>
    <w:rsid w:val="008319DE"/>
    <w:rsid w:val="00831A9B"/>
    <w:rsid w:val="0083240B"/>
    <w:rsid w:val="008329DE"/>
    <w:rsid w:val="00833313"/>
    <w:rsid w:val="00833693"/>
    <w:rsid w:val="0083378F"/>
    <w:rsid w:val="00834189"/>
    <w:rsid w:val="008341AB"/>
    <w:rsid w:val="00834588"/>
    <w:rsid w:val="0083622F"/>
    <w:rsid w:val="0083648C"/>
    <w:rsid w:val="008369BB"/>
    <w:rsid w:val="0084098C"/>
    <w:rsid w:val="0084166F"/>
    <w:rsid w:val="00841AD2"/>
    <w:rsid w:val="00842669"/>
    <w:rsid w:val="00842B12"/>
    <w:rsid w:val="008435BD"/>
    <w:rsid w:val="00843E2B"/>
    <w:rsid w:val="008445B6"/>
    <w:rsid w:val="0084483E"/>
    <w:rsid w:val="008449F4"/>
    <w:rsid w:val="00845066"/>
    <w:rsid w:val="00845596"/>
    <w:rsid w:val="00846213"/>
    <w:rsid w:val="008463BF"/>
    <w:rsid w:val="00846880"/>
    <w:rsid w:val="00846A42"/>
    <w:rsid w:val="00846AD0"/>
    <w:rsid w:val="00847A19"/>
    <w:rsid w:val="00850B5F"/>
    <w:rsid w:val="00850EA2"/>
    <w:rsid w:val="00850F5D"/>
    <w:rsid w:val="008524CE"/>
    <w:rsid w:val="0085286B"/>
    <w:rsid w:val="00852C47"/>
    <w:rsid w:val="008532E7"/>
    <w:rsid w:val="00853AEB"/>
    <w:rsid w:val="00853C78"/>
    <w:rsid w:val="00854497"/>
    <w:rsid w:val="00854D97"/>
    <w:rsid w:val="00854DC1"/>
    <w:rsid w:val="008552C4"/>
    <w:rsid w:val="00855E85"/>
    <w:rsid w:val="00856731"/>
    <w:rsid w:val="008600E1"/>
    <w:rsid w:val="0086014E"/>
    <w:rsid w:val="008601B3"/>
    <w:rsid w:val="008605B6"/>
    <w:rsid w:val="00860D01"/>
    <w:rsid w:val="008617A9"/>
    <w:rsid w:val="00862593"/>
    <w:rsid w:val="008626F8"/>
    <w:rsid w:val="008635D1"/>
    <w:rsid w:val="00864423"/>
    <w:rsid w:val="00864C37"/>
    <w:rsid w:val="00865518"/>
    <w:rsid w:val="00866611"/>
    <w:rsid w:val="00866C8D"/>
    <w:rsid w:val="00866F4E"/>
    <w:rsid w:val="00867942"/>
    <w:rsid w:val="00867CAA"/>
    <w:rsid w:val="008713DC"/>
    <w:rsid w:val="008716F8"/>
    <w:rsid w:val="008726EE"/>
    <w:rsid w:val="00873A76"/>
    <w:rsid w:val="00873D3F"/>
    <w:rsid w:val="00874BC4"/>
    <w:rsid w:val="00874DD8"/>
    <w:rsid w:val="00875C53"/>
    <w:rsid w:val="00875C94"/>
    <w:rsid w:val="00876215"/>
    <w:rsid w:val="00876E39"/>
    <w:rsid w:val="00880134"/>
    <w:rsid w:val="008804EE"/>
    <w:rsid w:val="008805DC"/>
    <w:rsid w:val="00880DF6"/>
    <w:rsid w:val="00880EFC"/>
    <w:rsid w:val="008810AE"/>
    <w:rsid w:val="00881115"/>
    <w:rsid w:val="00881A69"/>
    <w:rsid w:val="00881E15"/>
    <w:rsid w:val="0088264B"/>
    <w:rsid w:val="0088298A"/>
    <w:rsid w:val="00883801"/>
    <w:rsid w:val="00883CD7"/>
    <w:rsid w:val="008844CA"/>
    <w:rsid w:val="00884876"/>
    <w:rsid w:val="008854C8"/>
    <w:rsid w:val="008856D3"/>
    <w:rsid w:val="00885C6F"/>
    <w:rsid w:val="008868E0"/>
    <w:rsid w:val="00886C6C"/>
    <w:rsid w:val="008872D9"/>
    <w:rsid w:val="00890142"/>
    <w:rsid w:val="0089022F"/>
    <w:rsid w:val="008904A0"/>
    <w:rsid w:val="00890DCA"/>
    <w:rsid w:val="00891249"/>
    <w:rsid w:val="008913C6"/>
    <w:rsid w:val="00892F5C"/>
    <w:rsid w:val="00893973"/>
    <w:rsid w:val="00893B4F"/>
    <w:rsid w:val="00893B9C"/>
    <w:rsid w:val="00893E4A"/>
    <w:rsid w:val="00893FBF"/>
    <w:rsid w:val="00894079"/>
    <w:rsid w:val="00894EB1"/>
    <w:rsid w:val="00895D03"/>
    <w:rsid w:val="0089623B"/>
    <w:rsid w:val="008972F5"/>
    <w:rsid w:val="0089731F"/>
    <w:rsid w:val="008975B1"/>
    <w:rsid w:val="008975CB"/>
    <w:rsid w:val="008978E5"/>
    <w:rsid w:val="00897CDE"/>
    <w:rsid w:val="00897DDA"/>
    <w:rsid w:val="008A28F9"/>
    <w:rsid w:val="008A2FC4"/>
    <w:rsid w:val="008A3C44"/>
    <w:rsid w:val="008A3E74"/>
    <w:rsid w:val="008A412A"/>
    <w:rsid w:val="008A42B9"/>
    <w:rsid w:val="008A448C"/>
    <w:rsid w:val="008A4D52"/>
    <w:rsid w:val="008A5304"/>
    <w:rsid w:val="008A55BB"/>
    <w:rsid w:val="008A583D"/>
    <w:rsid w:val="008A58E0"/>
    <w:rsid w:val="008A66F7"/>
    <w:rsid w:val="008A67F5"/>
    <w:rsid w:val="008A6A03"/>
    <w:rsid w:val="008A7AF5"/>
    <w:rsid w:val="008A7D33"/>
    <w:rsid w:val="008B03EF"/>
    <w:rsid w:val="008B0A17"/>
    <w:rsid w:val="008B1170"/>
    <w:rsid w:val="008B11C6"/>
    <w:rsid w:val="008B1DBE"/>
    <w:rsid w:val="008B2C91"/>
    <w:rsid w:val="008B3094"/>
    <w:rsid w:val="008B3FC5"/>
    <w:rsid w:val="008B430B"/>
    <w:rsid w:val="008B4B4A"/>
    <w:rsid w:val="008B51EA"/>
    <w:rsid w:val="008B529F"/>
    <w:rsid w:val="008B5C21"/>
    <w:rsid w:val="008B667B"/>
    <w:rsid w:val="008B66B9"/>
    <w:rsid w:val="008B66E3"/>
    <w:rsid w:val="008B6D25"/>
    <w:rsid w:val="008B71AA"/>
    <w:rsid w:val="008B7527"/>
    <w:rsid w:val="008B7A45"/>
    <w:rsid w:val="008C0FB9"/>
    <w:rsid w:val="008C124A"/>
    <w:rsid w:val="008C1F51"/>
    <w:rsid w:val="008C23EC"/>
    <w:rsid w:val="008C31F3"/>
    <w:rsid w:val="008C39BB"/>
    <w:rsid w:val="008C3D0C"/>
    <w:rsid w:val="008C4B85"/>
    <w:rsid w:val="008C5BCA"/>
    <w:rsid w:val="008C5C9E"/>
    <w:rsid w:val="008C621F"/>
    <w:rsid w:val="008C6C3B"/>
    <w:rsid w:val="008C71C3"/>
    <w:rsid w:val="008C7267"/>
    <w:rsid w:val="008D0BCC"/>
    <w:rsid w:val="008D0E00"/>
    <w:rsid w:val="008D12EF"/>
    <w:rsid w:val="008D140A"/>
    <w:rsid w:val="008D19FA"/>
    <w:rsid w:val="008D2041"/>
    <w:rsid w:val="008D2D10"/>
    <w:rsid w:val="008D462C"/>
    <w:rsid w:val="008D51D5"/>
    <w:rsid w:val="008D542A"/>
    <w:rsid w:val="008D56C6"/>
    <w:rsid w:val="008D5AFC"/>
    <w:rsid w:val="008D631D"/>
    <w:rsid w:val="008D6FF0"/>
    <w:rsid w:val="008D72BA"/>
    <w:rsid w:val="008D75F5"/>
    <w:rsid w:val="008D7B96"/>
    <w:rsid w:val="008E0448"/>
    <w:rsid w:val="008E06A0"/>
    <w:rsid w:val="008E06E4"/>
    <w:rsid w:val="008E07DD"/>
    <w:rsid w:val="008E0957"/>
    <w:rsid w:val="008E150F"/>
    <w:rsid w:val="008E1CEA"/>
    <w:rsid w:val="008E1F99"/>
    <w:rsid w:val="008E2036"/>
    <w:rsid w:val="008E25A7"/>
    <w:rsid w:val="008E2738"/>
    <w:rsid w:val="008E2764"/>
    <w:rsid w:val="008E2CA5"/>
    <w:rsid w:val="008E2E12"/>
    <w:rsid w:val="008E41CE"/>
    <w:rsid w:val="008E4953"/>
    <w:rsid w:val="008E5EFF"/>
    <w:rsid w:val="008E6069"/>
    <w:rsid w:val="008E60BB"/>
    <w:rsid w:val="008E60C4"/>
    <w:rsid w:val="008E6669"/>
    <w:rsid w:val="008E669B"/>
    <w:rsid w:val="008E6B16"/>
    <w:rsid w:val="008E7437"/>
    <w:rsid w:val="008E7946"/>
    <w:rsid w:val="008E7D9D"/>
    <w:rsid w:val="008F0750"/>
    <w:rsid w:val="008F07C5"/>
    <w:rsid w:val="008F0811"/>
    <w:rsid w:val="008F0923"/>
    <w:rsid w:val="008F0EC1"/>
    <w:rsid w:val="008F16A0"/>
    <w:rsid w:val="008F19FF"/>
    <w:rsid w:val="008F1DD9"/>
    <w:rsid w:val="008F1E46"/>
    <w:rsid w:val="008F219C"/>
    <w:rsid w:val="008F227D"/>
    <w:rsid w:val="008F270A"/>
    <w:rsid w:val="008F335B"/>
    <w:rsid w:val="008F4472"/>
    <w:rsid w:val="008F48F5"/>
    <w:rsid w:val="008F4AB7"/>
    <w:rsid w:val="008F4B85"/>
    <w:rsid w:val="008F5023"/>
    <w:rsid w:val="008F65A3"/>
    <w:rsid w:val="008F6F47"/>
    <w:rsid w:val="00900777"/>
    <w:rsid w:val="00900E61"/>
    <w:rsid w:val="009013B2"/>
    <w:rsid w:val="009019B5"/>
    <w:rsid w:val="00901AD9"/>
    <w:rsid w:val="009028E0"/>
    <w:rsid w:val="00902D9E"/>
    <w:rsid w:val="00902E63"/>
    <w:rsid w:val="00902F80"/>
    <w:rsid w:val="00903301"/>
    <w:rsid w:val="0090416D"/>
    <w:rsid w:val="00904539"/>
    <w:rsid w:val="009046C4"/>
    <w:rsid w:val="00904959"/>
    <w:rsid w:val="009056D7"/>
    <w:rsid w:val="00906007"/>
    <w:rsid w:val="00906054"/>
    <w:rsid w:val="009061A1"/>
    <w:rsid w:val="009064BC"/>
    <w:rsid w:val="00907A30"/>
    <w:rsid w:val="00907F96"/>
    <w:rsid w:val="00907FCC"/>
    <w:rsid w:val="00907FCE"/>
    <w:rsid w:val="009102A3"/>
    <w:rsid w:val="009108F5"/>
    <w:rsid w:val="00910980"/>
    <w:rsid w:val="009124D0"/>
    <w:rsid w:val="00912E5D"/>
    <w:rsid w:val="009136FF"/>
    <w:rsid w:val="00913847"/>
    <w:rsid w:val="00913A7F"/>
    <w:rsid w:val="00913AE0"/>
    <w:rsid w:val="00913DD2"/>
    <w:rsid w:val="009147FA"/>
    <w:rsid w:val="00914D03"/>
    <w:rsid w:val="00914D9C"/>
    <w:rsid w:val="009152FF"/>
    <w:rsid w:val="00915842"/>
    <w:rsid w:val="0091676C"/>
    <w:rsid w:val="00917303"/>
    <w:rsid w:val="00917343"/>
    <w:rsid w:val="00917A67"/>
    <w:rsid w:val="00920293"/>
    <w:rsid w:val="0092078C"/>
    <w:rsid w:val="00920BAD"/>
    <w:rsid w:val="009211B4"/>
    <w:rsid w:val="009212C1"/>
    <w:rsid w:val="00921520"/>
    <w:rsid w:val="009226F0"/>
    <w:rsid w:val="009229BE"/>
    <w:rsid w:val="009230F3"/>
    <w:rsid w:val="0092316A"/>
    <w:rsid w:val="00923247"/>
    <w:rsid w:val="00923251"/>
    <w:rsid w:val="00923F05"/>
    <w:rsid w:val="009249AE"/>
    <w:rsid w:val="00924BEF"/>
    <w:rsid w:val="00925DE4"/>
    <w:rsid w:val="00926485"/>
    <w:rsid w:val="00930ACD"/>
    <w:rsid w:val="00930BE0"/>
    <w:rsid w:val="009315DC"/>
    <w:rsid w:val="0093176F"/>
    <w:rsid w:val="0093242F"/>
    <w:rsid w:val="00932697"/>
    <w:rsid w:val="00932AD3"/>
    <w:rsid w:val="009331C1"/>
    <w:rsid w:val="0093408C"/>
    <w:rsid w:val="00934EE4"/>
    <w:rsid w:val="00934FED"/>
    <w:rsid w:val="0093532D"/>
    <w:rsid w:val="009359DA"/>
    <w:rsid w:val="00935FA2"/>
    <w:rsid w:val="00937610"/>
    <w:rsid w:val="009405ED"/>
    <w:rsid w:val="0094060F"/>
    <w:rsid w:val="00940B61"/>
    <w:rsid w:val="00940D4F"/>
    <w:rsid w:val="009417E5"/>
    <w:rsid w:val="009418ED"/>
    <w:rsid w:val="00941C70"/>
    <w:rsid w:val="00941EF9"/>
    <w:rsid w:val="00942015"/>
    <w:rsid w:val="00943018"/>
    <w:rsid w:val="0094305B"/>
    <w:rsid w:val="009431A9"/>
    <w:rsid w:val="0094350F"/>
    <w:rsid w:val="00943DE8"/>
    <w:rsid w:val="00944929"/>
    <w:rsid w:val="00944A5B"/>
    <w:rsid w:val="00945285"/>
    <w:rsid w:val="00945E54"/>
    <w:rsid w:val="0094666B"/>
    <w:rsid w:val="00946751"/>
    <w:rsid w:val="00946BC1"/>
    <w:rsid w:val="00946BD0"/>
    <w:rsid w:val="00946C02"/>
    <w:rsid w:val="00947042"/>
    <w:rsid w:val="009470A0"/>
    <w:rsid w:val="0094741E"/>
    <w:rsid w:val="0095023E"/>
    <w:rsid w:val="00950ADA"/>
    <w:rsid w:val="00950BF1"/>
    <w:rsid w:val="00951404"/>
    <w:rsid w:val="009517B4"/>
    <w:rsid w:val="00951CF5"/>
    <w:rsid w:val="0095355A"/>
    <w:rsid w:val="00953615"/>
    <w:rsid w:val="009536C8"/>
    <w:rsid w:val="0095383F"/>
    <w:rsid w:val="00954060"/>
    <w:rsid w:val="0095412D"/>
    <w:rsid w:val="009541B1"/>
    <w:rsid w:val="00954216"/>
    <w:rsid w:val="009548BF"/>
    <w:rsid w:val="00954B4F"/>
    <w:rsid w:val="00954C72"/>
    <w:rsid w:val="00955185"/>
    <w:rsid w:val="0095587C"/>
    <w:rsid w:val="0095735C"/>
    <w:rsid w:val="009577CB"/>
    <w:rsid w:val="00957DC8"/>
    <w:rsid w:val="00961290"/>
    <w:rsid w:val="009615C0"/>
    <w:rsid w:val="0096203A"/>
    <w:rsid w:val="0096205A"/>
    <w:rsid w:val="0096213C"/>
    <w:rsid w:val="009645A7"/>
    <w:rsid w:val="009651DB"/>
    <w:rsid w:val="0096574A"/>
    <w:rsid w:val="009657D3"/>
    <w:rsid w:val="00966347"/>
    <w:rsid w:val="00966911"/>
    <w:rsid w:val="00966EE5"/>
    <w:rsid w:val="00967106"/>
    <w:rsid w:val="00967F5B"/>
    <w:rsid w:val="009703FC"/>
    <w:rsid w:val="00970DB1"/>
    <w:rsid w:val="00971365"/>
    <w:rsid w:val="00971615"/>
    <w:rsid w:val="009716B9"/>
    <w:rsid w:val="00971E06"/>
    <w:rsid w:val="00972CF8"/>
    <w:rsid w:val="009736BB"/>
    <w:rsid w:val="009736C7"/>
    <w:rsid w:val="00973916"/>
    <w:rsid w:val="00973F90"/>
    <w:rsid w:val="009747F9"/>
    <w:rsid w:val="00974ADB"/>
    <w:rsid w:val="00974BA1"/>
    <w:rsid w:val="00974D36"/>
    <w:rsid w:val="009750BE"/>
    <w:rsid w:val="0097631C"/>
    <w:rsid w:val="00976352"/>
    <w:rsid w:val="00977534"/>
    <w:rsid w:val="00977545"/>
    <w:rsid w:val="0097766A"/>
    <w:rsid w:val="00977C32"/>
    <w:rsid w:val="009800EA"/>
    <w:rsid w:val="0098071C"/>
    <w:rsid w:val="00980D1D"/>
    <w:rsid w:val="009829F2"/>
    <w:rsid w:val="00982A35"/>
    <w:rsid w:val="00982CD1"/>
    <w:rsid w:val="009835AF"/>
    <w:rsid w:val="00983FF2"/>
    <w:rsid w:val="00984CDF"/>
    <w:rsid w:val="00985516"/>
    <w:rsid w:val="00985A18"/>
    <w:rsid w:val="00986171"/>
    <w:rsid w:val="00986325"/>
    <w:rsid w:val="0098690D"/>
    <w:rsid w:val="00986A4F"/>
    <w:rsid w:val="00986E1C"/>
    <w:rsid w:val="00987927"/>
    <w:rsid w:val="00987CA7"/>
    <w:rsid w:val="00990187"/>
    <w:rsid w:val="0099030A"/>
    <w:rsid w:val="009913DA"/>
    <w:rsid w:val="00991631"/>
    <w:rsid w:val="00992376"/>
    <w:rsid w:val="00992593"/>
    <w:rsid w:val="009926CF"/>
    <w:rsid w:val="00993012"/>
    <w:rsid w:val="00993A7C"/>
    <w:rsid w:val="00993C91"/>
    <w:rsid w:val="00994064"/>
    <w:rsid w:val="0099425B"/>
    <w:rsid w:val="009949C4"/>
    <w:rsid w:val="00994CBA"/>
    <w:rsid w:val="00994F53"/>
    <w:rsid w:val="00994FAB"/>
    <w:rsid w:val="009950DE"/>
    <w:rsid w:val="00995694"/>
    <w:rsid w:val="00996346"/>
    <w:rsid w:val="009966C6"/>
    <w:rsid w:val="00997828"/>
    <w:rsid w:val="00997B2B"/>
    <w:rsid w:val="00997D83"/>
    <w:rsid w:val="00997FB5"/>
    <w:rsid w:val="009A0546"/>
    <w:rsid w:val="009A099E"/>
    <w:rsid w:val="009A136C"/>
    <w:rsid w:val="009A1580"/>
    <w:rsid w:val="009A1829"/>
    <w:rsid w:val="009A18B7"/>
    <w:rsid w:val="009A1A1E"/>
    <w:rsid w:val="009A201E"/>
    <w:rsid w:val="009A269B"/>
    <w:rsid w:val="009A2777"/>
    <w:rsid w:val="009A33C0"/>
    <w:rsid w:val="009A384A"/>
    <w:rsid w:val="009A39A0"/>
    <w:rsid w:val="009A3F04"/>
    <w:rsid w:val="009A41E0"/>
    <w:rsid w:val="009A482C"/>
    <w:rsid w:val="009A4B58"/>
    <w:rsid w:val="009A581B"/>
    <w:rsid w:val="009A5A89"/>
    <w:rsid w:val="009A5D1F"/>
    <w:rsid w:val="009A6019"/>
    <w:rsid w:val="009A66B5"/>
    <w:rsid w:val="009A70F4"/>
    <w:rsid w:val="009A72BE"/>
    <w:rsid w:val="009B0AB7"/>
    <w:rsid w:val="009B0DAE"/>
    <w:rsid w:val="009B1A3C"/>
    <w:rsid w:val="009B1C1B"/>
    <w:rsid w:val="009B2060"/>
    <w:rsid w:val="009B25F1"/>
    <w:rsid w:val="009B30D6"/>
    <w:rsid w:val="009B36F1"/>
    <w:rsid w:val="009B3736"/>
    <w:rsid w:val="009B390E"/>
    <w:rsid w:val="009B3D3D"/>
    <w:rsid w:val="009B4294"/>
    <w:rsid w:val="009B42C3"/>
    <w:rsid w:val="009B44E4"/>
    <w:rsid w:val="009B471D"/>
    <w:rsid w:val="009B56D7"/>
    <w:rsid w:val="009B5C87"/>
    <w:rsid w:val="009B5DA6"/>
    <w:rsid w:val="009B5F17"/>
    <w:rsid w:val="009B645B"/>
    <w:rsid w:val="009B6937"/>
    <w:rsid w:val="009B6D5A"/>
    <w:rsid w:val="009B6E5C"/>
    <w:rsid w:val="009B70F0"/>
    <w:rsid w:val="009B7875"/>
    <w:rsid w:val="009B78A6"/>
    <w:rsid w:val="009B79D6"/>
    <w:rsid w:val="009C057C"/>
    <w:rsid w:val="009C0684"/>
    <w:rsid w:val="009C07CE"/>
    <w:rsid w:val="009C0933"/>
    <w:rsid w:val="009C1979"/>
    <w:rsid w:val="009C1FE1"/>
    <w:rsid w:val="009C291D"/>
    <w:rsid w:val="009C2B16"/>
    <w:rsid w:val="009C2F4E"/>
    <w:rsid w:val="009C36C7"/>
    <w:rsid w:val="009C3722"/>
    <w:rsid w:val="009C39FD"/>
    <w:rsid w:val="009C4555"/>
    <w:rsid w:val="009C4A96"/>
    <w:rsid w:val="009C51A6"/>
    <w:rsid w:val="009C5527"/>
    <w:rsid w:val="009C5574"/>
    <w:rsid w:val="009C5640"/>
    <w:rsid w:val="009C5E69"/>
    <w:rsid w:val="009C64CC"/>
    <w:rsid w:val="009C69DA"/>
    <w:rsid w:val="009C6F69"/>
    <w:rsid w:val="009C766F"/>
    <w:rsid w:val="009C783F"/>
    <w:rsid w:val="009D0681"/>
    <w:rsid w:val="009D0CEA"/>
    <w:rsid w:val="009D0E80"/>
    <w:rsid w:val="009D1DC5"/>
    <w:rsid w:val="009D21E4"/>
    <w:rsid w:val="009D2203"/>
    <w:rsid w:val="009D26A5"/>
    <w:rsid w:val="009D2A32"/>
    <w:rsid w:val="009D30FC"/>
    <w:rsid w:val="009D3866"/>
    <w:rsid w:val="009D3D61"/>
    <w:rsid w:val="009D3DAC"/>
    <w:rsid w:val="009D51C3"/>
    <w:rsid w:val="009D52DE"/>
    <w:rsid w:val="009D59F9"/>
    <w:rsid w:val="009D6C21"/>
    <w:rsid w:val="009D7492"/>
    <w:rsid w:val="009D7FA4"/>
    <w:rsid w:val="009E0407"/>
    <w:rsid w:val="009E0521"/>
    <w:rsid w:val="009E0A47"/>
    <w:rsid w:val="009E0C72"/>
    <w:rsid w:val="009E177C"/>
    <w:rsid w:val="009E27EE"/>
    <w:rsid w:val="009E45AF"/>
    <w:rsid w:val="009E4E24"/>
    <w:rsid w:val="009E4FED"/>
    <w:rsid w:val="009E572E"/>
    <w:rsid w:val="009E57E7"/>
    <w:rsid w:val="009E582D"/>
    <w:rsid w:val="009E5B25"/>
    <w:rsid w:val="009E5CE4"/>
    <w:rsid w:val="009E5E52"/>
    <w:rsid w:val="009E65E6"/>
    <w:rsid w:val="009E683E"/>
    <w:rsid w:val="009E6F22"/>
    <w:rsid w:val="009E7904"/>
    <w:rsid w:val="009E7A8D"/>
    <w:rsid w:val="009E7ECC"/>
    <w:rsid w:val="009E7FC5"/>
    <w:rsid w:val="009F0215"/>
    <w:rsid w:val="009F0443"/>
    <w:rsid w:val="009F0D6E"/>
    <w:rsid w:val="009F0F72"/>
    <w:rsid w:val="009F133E"/>
    <w:rsid w:val="009F15D9"/>
    <w:rsid w:val="009F1C86"/>
    <w:rsid w:val="009F21FB"/>
    <w:rsid w:val="009F22DE"/>
    <w:rsid w:val="009F26FF"/>
    <w:rsid w:val="009F37AC"/>
    <w:rsid w:val="009F3CDE"/>
    <w:rsid w:val="009F3FAA"/>
    <w:rsid w:val="009F41EC"/>
    <w:rsid w:val="009F4A8E"/>
    <w:rsid w:val="009F4FEF"/>
    <w:rsid w:val="009F527A"/>
    <w:rsid w:val="009F6656"/>
    <w:rsid w:val="009F68A3"/>
    <w:rsid w:val="009F68D8"/>
    <w:rsid w:val="009F6E71"/>
    <w:rsid w:val="009F6EFD"/>
    <w:rsid w:val="009F7322"/>
    <w:rsid w:val="009F7330"/>
    <w:rsid w:val="009F7B92"/>
    <w:rsid w:val="00A001DB"/>
    <w:rsid w:val="00A0031D"/>
    <w:rsid w:val="00A00690"/>
    <w:rsid w:val="00A00B29"/>
    <w:rsid w:val="00A012D0"/>
    <w:rsid w:val="00A01316"/>
    <w:rsid w:val="00A0140E"/>
    <w:rsid w:val="00A01ECC"/>
    <w:rsid w:val="00A01FDF"/>
    <w:rsid w:val="00A02639"/>
    <w:rsid w:val="00A026BA"/>
    <w:rsid w:val="00A0290B"/>
    <w:rsid w:val="00A03E6F"/>
    <w:rsid w:val="00A04671"/>
    <w:rsid w:val="00A04A69"/>
    <w:rsid w:val="00A04D46"/>
    <w:rsid w:val="00A05633"/>
    <w:rsid w:val="00A058B0"/>
    <w:rsid w:val="00A0690D"/>
    <w:rsid w:val="00A1058E"/>
    <w:rsid w:val="00A1072F"/>
    <w:rsid w:val="00A1077D"/>
    <w:rsid w:val="00A10850"/>
    <w:rsid w:val="00A11012"/>
    <w:rsid w:val="00A11C4C"/>
    <w:rsid w:val="00A12063"/>
    <w:rsid w:val="00A12595"/>
    <w:rsid w:val="00A12A9B"/>
    <w:rsid w:val="00A12B88"/>
    <w:rsid w:val="00A12BD5"/>
    <w:rsid w:val="00A134AA"/>
    <w:rsid w:val="00A1359B"/>
    <w:rsid w:val="00A13680"/>
    <w:rsid w:val="00A13881"/>
    <w:rsid w:val="00A141C2"/>
    <w:rsid w:val="00A142CC"/>
    <w:rsid w:val="00A14399"/>
    <w:rsid w:val="00A14AEA"/>
    <w:rsid w:val="00A14CCC"/>
    <w:rsid w:val="00A1639E"/>
    <w:rsid w:val="00A16409"/>
    <w:rsid w:val="00A164DC"/>
    <w:rsid w:val="00A16C5A"/>
    <w:rsid w:val="00A16E70"/>
    <w:rsid w:val="00A16ECA"/>
    <w:rsid w:val="00A16FDC"/>
    <w:rsid w:val="00A17141"/>
    <w:rsid w:val="00A17DE7"/>
    <w:rsid w:val="00A20C38"/>
    <w:rsid w:val="00A20C5E"/>
    <w:rsid w:val="00A2125F"/>
    <w:rsid w:val="00A2141B"/>
    <w:rsid w:val="00A214C2"/>
    <w:rsid w:val="00A2215F"/>
    <w:rsid w:val="00A2297B"/>
    <w:rsid w:val="00A22C2C"/>
    <w:rsid w:val="00A234A7"/>
    <w:rsid w:val="00A242D0"/>
    <w:rsid w:val="00A25FDF"/>
    <w:rsid w:val="00A260FA"/>
    <w:rsid w:val="00A270E4"/>
    <w:rsid w:val="00A27376"/>
    <w:rsid w:val="00A275D1"/>
    <w:rsid w:val="00A27AED"/>
    <w:rsid w:val="00A30744"/>
    <w:rsid w:val="00A30E29"/>
    <w:rsid w:val="00A319AE"/>
    <w:rsid w:val="00A31D30"/>
    <w:rsid w:val="00A321FC"/>
    <w:rsid w:val="00A32607"/>
    <w:rsid w:val="00A32FC0"/>
    <w:rsid w:val="00A33698"/>
    <w:rsid w:val="00A337F7"/>
    <w:rsid w:val="00A33CAA"/>
    <w:rsid w:val="00A34832"/>
    <w:rsid w:val="00A34BA5"/>
    <w:rsid w:val="00A34F76"/>
    <w:rsid w:val="00A35304"/>
    <w:rsid w:val="00A35750"/>
    <w:rsid w:val="00A357FA"/>
    <w:rsid w:val="00A35BB4"/>
    <w:rsid w:val="00A35EAD"/>
    <w:rsid w:val="00A369DB"/>
    <w:rsid w:val="00A37EB5"/>
    <w:rsid w:val="00A401A8"/>
    <w:rsid w:val="00A40930"/>
    <w:rsid w:val="00A40D59"/>
    <w:rsid w:val="00A419C2"/>
    <w:rsid w:val="00A419DA"/>
    <w:rsid w:val="00A41AAE"/>
    <w:rsid w:val="00A41BB6"/>
    <w:rsid w:val="00A41BD2"/>
    <w:rsid w:val="00A41CBC"/>
    <w:rsid w:val="00A4330C"/>
    <w:rsid w:val="00A43AEC"/>
    <w:rsid w:val="00A444CD"/>
    <w:rsid w:val="00A44921"/>
    <w:rsid w:val="00A44980"/>
    <w:rsid w:val="00A449C6"/>
    <w:rsid w:val="00A46327"/>
    <w:rsid w:val="00A46A80"/>
    <w:rsid w:val="00A46B9C"/>
    <w:rsid w:val="00A46C5E"/>
    <w:rsid w:val="00A4708A"/>
    <w:rsid w:val="00A5145F"/>
    <w:rsid w:val="00A51801"/>
    <w:rsid w:val="00A51B7C"/>
    <w:rsid w:val="00A53252"/>
    <w:rsid w:val="00A53404"/>
    <w:rsid w:val="00A535B9"/>
    <w:rsid w:val="00A539F7"/>
    <w:rsid w:val="00A53C5F"/>
    <w:rsid w:val="00A54A96"/>
    <w:rsid w:val="00A54D71"/>
    <w:rsid w:val="00A54DD1"/>
    <w:rsid w:val="00A552D1"/>
    <w:rsid w:val="00A57547"/>
    <w:rsid w:val="00A575C8"/>
    <w:rsid w:val="00A57D1A"/>
    <w:rsid w:val="00A600D1"/>
    <w:rsid w:val="00A601BD"/>
    <w:rsid w:val="00A6127F"/>
    <w:rsid w:val="00A616BF"/>
    <w:rsid w:val="00A61BBE"/>
    <w:rsid w:val="00A61CA4"/>
    <w:rsid w:val="00A6250A"/>
    <w:rsid w:val="00A6289E"/>
    <w:rsid w:val="00A6536F"/>
    <w:rsid w:val="00A65C51"/>
    <w:rsid w:val="00A6647F"/>
    <w:rsid w:val="00A66546"/>
    <w:rsid w:val="00A66764"/>
    <w:rsid w:val="00A66ADC"/>
    <w:rsid w:val="00A66E37"/>
    <w:rsid w:val="00A670B7"/>
    <w:rsid w:val="00A6744F"/>
    <w:rsid w:val="00A67D02"/>
    <w:rsid w:val="00A700B2"/>
    <w:rsid w:val="00A70D13"/>
    <w:rsid w:val="00A719B0"/>
    <w:rsid w:val="00A71A41"/>
    <w:rsid w:val="00A71DAC"/>
    <w:rsid w:val="00A725E0"/>
    <w:rsid w:val="00A72AB1"/>
    <w:rsid w:val="00A72BF3"/>
    <w:rsid w:val="00A733FF"/>
    <w:rsid w:val="00A737DF"/>
    <w:rsid w:val="00A73BB1"/>
    <w:rsid w:val="00A73D82"/>
    <w:rsid w:val="00A7507A"/>
    <w:rsid w:val="00A757BE"/>
    <w:rsid w:val="00A75910"/>
    <w:rsid w:val="00A75A14"/>
    <w:rsid w:val="00A76825"/>
    <w:rsid w:val="00A77821"/>
    <w:rsid w:val="00A80D55"/>
    <w:rsid w:val="00A813F8"/>
    <w:rsid w:val="00A81DFF"/>
    <w:rsid w:val="00A82146"/>
    <w:rsid w:val="00A823D2"/>
    <w:rsid w:val="00A827F6"/>
    <w:rsid w:val="00A82BA7"/>
    <w:rsid w:val="00A832D2"/>
    <w:rsid w:val="00A8340C"/>
    <w:rsid w:val="00A83B10"/>
    <w:rsid w:val="00A83CB9"/>
    <w:rsid w:val="00A84570"/>
    <w:rsid w:val="00A8468A"/>
    <w:rsid w:val="00A84B33"/>
    <w:rsid w:val="00A85131"/>
    <w:rsid w:val="00A856B5"/>
    <w:rsid w:val="00A85A1A"/>
    <w:rsid w:val="00A86718"/>
    <w:rsid w:val="00A86A49"/>
    <w:rsid w:val="00A87402"/>
    <w:rsid w:val="00A87F3F"/>
    <w:rsid w:val="00A87F58"/>
    <w:rsid w:val="00A90103"/>
    <w:rsid w:val="00A90491"/>
    <w:rsid w:val="00A909A3"/>
    <w:rsid w:val="00A90D7B"/>
    <w:rsid w:val="00A90E44"/>
    <w:rsid w:val="00A911C1"/>
    <w:rsid w:val="00A9158E"/>
    <w:rsid w:val="00A9162D"/>
    <w:rsid w:val="00A92E94"/>
    <w:rsid w:val="00A93DD9"/>
    <w:rsid w:val="00A94005"/>
    <w:rsid w:val="00A951E9"/>
    <w:rsid w:val="00A9521C"/>
    <w:rsid w:val="00A9547C"/>
    <w:rsid w:val="00A96BB2"/>
    <w:rsid w:val="00A96CD6"/>
    <w:rsid w:val="00A974E1"/>
    <w:rsid w:val="00A97B17"/>
    <w:rsid w:val="00A97C34"/>
    <w:rsid w:val="00AA0B42"/>
    <w:rsid w:val="00AA1B8B"/>
    <w:rsid w:val="00AA2078"/>
    <w:rsid w:val="00AA22C9"/>
    <w:rsid w:val="00AA2962"/>
    <w:rsid w:val="00AA2A51"/>
    <w:rsid w:val="00AA2B24"/>
    <w:rsid w:val="00AA3499"/>
    <w:rsid w:val="00AA34D6"/>
    <w:rsid w:val="00AA3A8B"/>
    <w:rsid w:val="00AA3C26"/>
    <w:rsid w:val="00AA3FE7"/>
    <w:rsid w:val="00AA43E1"/>
    <w:rsid w:val="00AA46B9"/>
    <w:rsid w:val="00AA4A39"/>
    <w:rsid w:val="00AA4A4B"/>
    <w:rsid w:val="00AA5ADD"/>
    <w:rsid w:val="00AA5BEF"/>
    <w:rsid w:val="00AA5E94"/>
    <w:rsid w:val="00AA66EA"/>
    <w:rsid w:val="00AA7F35"/>
    <w:rsid w:val="00AA7FD5"/>
    <w:rsid w:val="00AB06B8"/>
    <w:rsid w:val="00AB0801"/>
    <w:rsid w:val="00AB09BB"/>
    <w:rsid w:val="00AB2393"/>
    <w:rsid w:val="00AB3280"/>
    <w:rsid w:val="00AB40C4"/>
    <w:rsid w:val="00AB41D4"/>
    <w:rsid w:val="00AB43DD"/>
    <w:rsid w:val="00AB4926"/>
    <w:rsid w:val="00AB4A12"/>
    <w:rsid w:val="00AB4DDC"/>
    <w:rsid w:val="00AB54E0"/>
    <w:rsid w:val="00AB6550"/>
    <w:rsid w:val="00AB6699"/>
    <w:rsid w:val="00AB7104"/>
    <w:rsid w:val="00AB7866"/>
    <w:rsid w:val="00AB7F49"/>
    <w:rsid w:val="00AC0AF6"/>
    <w:rsid w:val="00AC0D9A"/>
    <w:rsid w:val="00AC1B9A"/>
    <w:rsid w:val="00AC2C3D"/>
    <w:rsid w:val="00AC328D"/>
    <w:rsid w:val="00AC339D"/>
    <w:rsid w:val="00AC33FB"/>
    <w:rsid w:val="00AC3C20"/>
    <w:rsid w:val="00AC4B35"/>
    <w:rsid w:val="00AC5CBF"/>
    <w:rsid w:val="00AC69B0"/>
    <w:rsid w:val="00AC73D1"/>
    <w:rsid w:val="00AD0A86"/>
    <w:rsid w:val="00AD17E4"/>
    <w:rsid w:val="00AD19F1"/>
    <w:rsid w:val="00AD1AE3"/>
    <w:rsid w:val="00AD2AA7"/>
    <w:rsid w:val="00AD2CD0"/>
    <w:rsid w:val="00AD360E"/>
    <w:rsid w:val="00AD3883"/>
    <w:rsid w:val="00AD3BBE"/>
    <w:rsid w:val="00AD3F94"/>
    <w:rsid w:val="00AD5853"/>
    <w:rsid w:val="00AD6512"/>
    <w:rsid w:val="00AD65A4"/>
    <w:rsid w:val="00AD7093"/>
    <w:rsid w:val="00AD7CAE"/>
    <w:rsid w:val="00AD7E24"/>
    <w:rsid w:val="00AD7EDD"/>
    <w:rsid w:val="00AE0A2C"/>
    <w:rsid w:val="00AE0CEF"/>
    <w:rsid w:val="00AE0EFE"/>
    <w:rsid w:val="00AE1454"/>
    <w:rsid w:val="00AE18AF"/>
    <w:rsid w:val="00AE1A05"/>
    <w:rsid w:val="00AE1DA3"/>
    <w:rsid w:val="00AE25A4"/>
    <w:rsid w:val="00AE25B4"/>
    <w:rsid w:val="00AE2614"/>
    <w:rsid w:val="00AE2910"/>
    <w:rsid w:val="00AE2C81"/>
    <w:rsid w:val="00AE330F"/>
    <w:rsid w:val="00AE35A0"/>
    <w:rsid w:val="00AE35C0"/>
    <w:rsid w:val="00AE3EEC"/>
    <w:rsid w:val="00AE47CE"/>
    <w:rsid w:val="00AE51AF"/>
    <w:rsid w:val="00AE5622"/>
    <w:rsid w:val="00AE59E1"/>
    <w:rsid w:val="00AE6798"/>
    <w:rsid w:val="00AE74E8"/>
    <w:rsid w:val="00AE7507"/>
    <w:rsid w:val="00AE78A3"/>
    <w:rsid w:val="00AE7F54"/>
    <w:rsid w:val="00AF0334"/>
    <w:rsid w:val="00AF116C"/>
    <w:rsid w:val="00AF1AF1"/>
    <w:rsid w:val="00AF1EBA"/>
    <w:rsid w:val="00AF2666"/>
    <w:rsid w:val="00AF2C0F"/>
    <w:rsid w:val="00AF2EB0"/>
    <w:rsid w:val="00AF4C86"/>
    <w:rsid w:val="00AF5650"/>
    <w:rsid w:val="00AF5C49"/>
    <w:rsid w:val="00AF5FD9"/>
    <w:rsid w:val="00AF64BC"/>
    <w:rsid w:val="00AF6A27"/>
    <w:rsid w:val="00AF748A"/>
    <w:rsid w:val="00AF78AC"/>
    <w:rsid w:val="00AF7CDB"/>
    <w:rsid w:val="00AF7D4E"/>
    <w:rsid w:val="00B006D9"/>
    <w:rsid w:val="00B0084C"/>
    <w:rsid w:val="00B00E22"/>
    <w:rsid w:val="00B00E4B"/>
    <w:rsid w:val="00B01650"/>
    <w:rsid w:val="00B016E6"/>
    <w:rsid w:val="00B02160"/>
    <w:rsid w:val="00B02A39"/>
    <w:rsid w:val="00B034D6"/>
    <w:rsid w:val="00B03ADB"/>
    <w:rsid w:val="00B04039"/>
    <w:rsid w:val="00B042F6"/>
    <w:rsid w:val="00B04BF6"/>
    <w:rsid w:val="00B04E7F"/>
    <w:rsid w:val="00B0554F"/>
    <w:rsid w:val="00B057A0"/>
    <w:rsid w:val="00B058D5"/>
    <w:rsid w:val="00B05F80"/>
    <w:rsid w:val="00B0638C"/>
    <w:rsid w:val="00B06579"/>
    <w:rsid w:val="00B06EA0"/>
    <w:rsid w:val="00B0738E"/>
    <w:rsid w:val="00B073D2"/>
    <w:rsid w:val="00B0773B"/>
    <w:rsid w:val="00B07BE9"/>
    <w:rsid w:val="00B07F04"/>
    <w:rsid w:val="00B10197"/>
    <w:rsid w:val="00B10198"/>
    <w:rsid w:val="00B10305"/>
    <w:rsid w:val="00B10633"/>
    <w:rsid w:val="00B110F5"/>
    <w:rsid w:val="00B119F1"/>
    <w:rsid w:val="00B11ACC"/>
    <w:rsid w:val="00B11C87"/>
    <w:rsid w:val="00B11D13"/>
    <w:rsid w:val="00B11D24"/>
    <w:rsid w:val="00B122A7"/>
    <w:rsid w:val="00B12426"/>
    <w:rsid w:val="00B12780"/>
    <w:rsid w:val="00B12D93"/>
    <w:rsid w:val="00B12FD9"/>
    <w:rsid w:val="00B13793"/>
    <w:rsid w:val="00B13BAC"/>
    <w:rsid w:val="00B1439F"/>
    <w:rsid w:val="00B14560"/>
    <w:rsid w:val="00B14C06"/>
    <w:rsid w:val="00B1523D"/>
    <w:rsid w:val="00B15302"/>
    <w:rsid w:val="00B15EE6"/>
    <w:rsid w:val="00B1616E"/>
    <w:rsid w:val="00B16452"/>
    <w:rsid w:val="00B17869"/>
    <w:rsid w:val="00B17948"/>
    <w:rsid w:val="00B17E09"/>
    <w:rsid w:val="00B2000C"/>
    <w:rsid w:val="00B20A10"/>
    <w:rsid w:val="00B20EAB"/>
    <w:rsid w:val="00B21182"/>
    <w:rsid w:val="00B214EF"/>
    <w:rsid w:val="00B21B59"/>
    <w:rsid w:val="00B21D59"/>
    <w:rsid w:val="00B2216B"/>
    <w:rsid w:val="00B2236D"/>
    <w:rsid w:val="00B22541"/>
    <w:rsid w:val="00B226E3"/>
    <w:rsid w:val="00B2356D"/>
    <w:rsid w:val="00B23AFF"/>
    <w:rsid w:val="00B244FF"/>
    <w:rsid w:val="00B25240"/>
    <w:rsid w:val="00B268A9"/>
    <w:rsid w:val="00B268FA"/>
    <w:rsid w:val="00B27859"/>
    <w:rsid w:val="00B27923"/>
    <w:rsid w:val="00B27AE2"/>
    <w:rsid w:val="00B27ED2"/>
    <w:rsid w:val="00B303D0"/>
    <w:rsid w:val="00B30A54"/>
    <w:rsid w:val="00B31569"/>
    <w:rsid w:val="00B31C5D"/>
    <w:rsid w:val="00B32C58"/>
    <w:rsid w:val="00B32D4C"/>
    <w:rsid w:val="00B330D2"/>
    <w:rsid w:val="00B334BB"/>
    <w:rsid w:val="00B3492D"/>
    <w:rsid w:val="00B34A94"/>
    <w:rsid w:val="00B34AF3"/>
    <w:rsid w:val="00B34E4E"/>
    <w:rsid w:val="00B34ECD"/>
    <w:rsid w:val="00B34F4B"/>
    <w:rsid w:val="00B35F02"/>
    <w:rsid w:val="00B3622F"/>
    <w:rsid w:val="00B373A5"/>
    <w:rsid w:val="00B374BE"/>
    <w:rsid w:val="00B377D2"/>
    <w:rsid w:val="00B37B77"/>
    <w:rsid w:val="00B37FCD"/>
    <w:rsid w:val="00B40557"/>
    <w:rsid w:val="00B408CC"/>
    <w:rsid w:val="00B40AA2"/>
    <w:rsid w:val="00B40E02"/>
    <w:rsid w:val="00B41DB4"/>
    <w:rsid w:val="00B422F9"/>
    <w:rsid w:val="00B42D17"/>
    <w:rsid w:val="00B431B8"/>
    <w:rsid w:val="00B4361A"/>
    <w:rsid w:val="00B43BF9"/>
    <w:rsid w:val="00B43C29"/>
    <w:rsid w:val="00B43CA0"/>
    <w:rsid w:val="00B443B8"/>
    <w:rsid w:val="00B45036"/>
    <w:rsid w:val="00B4543A"/>
    <w:rsid w:val="00B4574A"/>
    <w:rsid w:val="00B45758"/>
    <w:rsid w:val="00B45F30"/>
    <w:rsid w:val="00B4621C"/>
    <w:rsid w:val="00B4681E"/>
    <w:rsid w:val="00B46C58"/>
    <w:rsid w:val="00B46FF0"/>
    <w:rsid w:val="00B4764F"/>
    <w:rsid w:val="00B47BFD"/>
    <w:rsid w:val="00B50005"/>
    <w:rsid w:val="00B50774"/>
    <w:rsid w:val="00B5118F"/>
    <w:rsid w:val="00B51BD0"/>
    <w:rsid w:val="00B51E34"/>
    <w:rsid w:val="00B521BA"/>
    <w:rsid w:val="00B52887"/>
    <w:rsid w:val="00B528B5"/>
    <w:rsid w:val="00B52A89"/>
    <w:rsid w:val="00B52D39"/>
    <w:rsid w:val="00B52EBF"/>
    <w:rsid w:val="00B534DB"/>
    <w:rsid w:val="00B54394"/>
    <w:rsid w:val="00B54861"/>
    <w:rsid w:val="00B549F2"/>
    <w:rsid w:val="00B55C7B"/>
    <w:rsid w:val="00B55FFB"/>
    <w:rsid w:val="00B5617F"/>
    <w:rsid w:val="00B56635"/>
    <w:rsid w:val="00B6024F"/>
    <w:rsid w:val="00B60CA8"/>
    <w:rsid w:val="00B60FF6"/>
    <w:rsid w:val="00B60FFB"/>
    <w:rsid w:val="00B61568"/>
    <w:rsid w:val="00B62645"/>
    <w:rsid w:val="00B62F4E"/>
    <w:rsid w:val="00B643B5"/>
    <w:rsid w:val="00B644EB"/>
    <w:rsid w:val="00B646C6"/>
    <w:rsid w:val="00B64B31"/>
    <w:rsid w:val="00B64B33"/>
    <w:rsid w:val="00B64EA5"/>
    <w:rsid w:val="00B654F9"/>
    <w:rsid w:val="00B65A78"/>
    <w:rsid w:val="00B6642F"/>
    <w:rsid w:val="00B66769"/>
    <w:rsid w:val="00B66FC3"/>
    <w:rsid w:val="00B67190"/>
    <w:rsid w:val="00B674E8"/>
    <w:rsid w:val="00B67643"/>
    <w:rsid w:val="00B70355"/>
    <w:rsid w:val="00B70607"/>
    <w:rsid w:val="00B70DEF"/>
    <w:rsid w:val="00B71FC8"/>
    <w:rsid w:val="00B732E4"/>
    <w:rsid w:val="00B73694"/>
    <w:rsid w:val="00B74029"/>
    <w:rsid w:val="00B743BC"/>
    <w:rsid w:val="00B743FA"/>
    <w:rsid w:val="00B74B18"/>
    <w:rsid w:val="00B74D5F"/>
    <w:rsid w:val="00B7559F"/>
    <w:rsid w:val="00B755AD"/>
    <w:rsid w:val="00B7570C"/>
    <w:rsid w:val="00B75EE5"/>
    <w:rsid w:val="00B76397"/>
    <w:rsid w:val="00B765D2"/>
    <w:rsid w:val="00B76D41"/>
    <w:rsid w:val="00B77029"/>
    <w:rsid w:val="00B8003D"/>
    <w:rsid w:val="00B80395"/>
    <w:rsid w:val="00B80A3F"/>
    <w:rsid w:val="00B80BAA"/>
    <w:rsid w:val="00B80C34"/>
    <w:rsid w:val="00B8319D"/>
    <w:rsid w:val="00B832B4"/>
    <w:rsid w:val="00B83A83"/>
    <w:rsid w:val="00B84048"/>
    <w:rsid w:val="00B84140"/>
    <w:rsid w:val="00B8460A"/>
    <w:rsid w:val="00B84B4E"/>
    <w:rsid w:val="00B85033"/>
    <w:rsid w:val="00B86A0F"/>
    <w:rsid w:val="00B8714C"/>
    <w:rsid w:val="00B877DD"/>
    <w:rsid w:val="00B90238"/>
    <w:rsid w:val="00B90607"/>
    <w:rsid w:val="00B90F10"/>
    <w:rsid w:val="00B91123"/>
    <w:rsid w:val="00B911C4"/>
    <w:rsid w:val="00B9150D"/>
    <w:rsid w:val="00B9159E"/>
    <w:rsid w:val="00B9191F"/>
    <w:rsid w:val="00B91FAC"/>
    <w:rsid w:val="00B9211A"/>
    <w:rsid w:val="00B9235D"/>
    <w:rsid w:val="00B923D5"/>
    <w:rsid w:val="00B92514"/>
    <w:rsid w:val="00B92C03"/>
    <w:rsid w:val="00B9311B"/>
    <w:rsid w:val="00B9315E"/>
    <w:rsid w:val="00B93284"/>
    <w:rsid w:val="00B9336A"/>
    <w:rsid w:val="00B9381B"/>
    <w:rsid w:val="00B93EBB"/>
    <w:rsid w:val="00B940DD"/>
    <w:rsid w:val="00B9424B"/>
    <w:rsid w:val="00B9466E"/>
    <w:rsid w:val="00B949B9"/>
    <w:rsid w:val="00B94F49"/>
    <w:rsid w:val="00B96697"/>
    <w:rsid w:val="00B966C7"/>
    <w:rsid w:val="00B966DE"/>
    <w:rsid w:val="00B96F6D"/>
    <w:rsid w:val="00B9798E"/>
    <w:rsid w:val="00BA0BDB"/>
    <w:rsid w:val="00BA0E29"/>
    <w:rsid w:val="00BA0F8C"/>
    <w:rsid w:val="00BA1353"/>
    <w:rsid w:val="00BA36AA"/>
    <w:rsid w:val="00BA39A6"/>
    <w:rsid w:val="00BA4EB8"/>
    <w:rsid w:val="00BA5C4C"/>
    <w:rsid w:val="00BA6159"/>
    <w:rsid w:val="00BA6456"/>
    <w:rsid w:val="00BA6F96"/>
    <w:rsid w:val="00BA7BC8"/>
    <w:rsid w:val="00BA7FF8"/>
    <w:rsid w:val="00BB000F"/>
    <w:rsid w:val="00BB0240"/>
    <w:rsid w:val="00BB0541"/>
    <w:rsid w:val="00BB06DD"/>
    <w:rsid w:val="00BB081D"/>
    <w:rsid w:val="00BB1134"/>
    <w:rsid w:val="00BB17F5"/>
    <w:rsid w:val="00BB1A58"/>
    <w:rsid w:val="00BB20F4"/>
    <w:rsid w:val="00BB2C66"/>
    <w:rsid w:val="00BB2E73"/>
    <w:rsid w:val="00BB353D"/>
    <w:rsid w:val="00BB366B"/>
    <w:rsid w:val="00BB3A63"/>
    <w:rsid w:val="00BB474C"/>
    <w:rsid w:val="00BB4F6F"/>
    <w:rsid w:val="00BB57AB"/>
    <w:rsid w:val="00BB591B"/>
    <w:rsid w:val="00BB6001"/>
    <w:rsid w:val="00BB611E"/>
    <w:rsid w:val="00BB6617"/>
    <w:rsid w:val="00BB6A0D"/>
    <w:rsid w:val="00BB6FFD"/>
    <w:rsid w:val="00BB71F7"/>
    <w:rsid w:val="00BB7214"/>
    <w:rsid w:val="00BB7479"/>
    <w:rsid w:val="00BC1C98"/>
    <w:rsid w:val="00BC1E1D"/>
    <w:rsid w:val="00BC26D0"/>
    <w:rsid w:val="00BC310E"/>
    <w:rsid w:val="00BC33DD"/>
    <w:rsid w:val="00BC38FC"/>
    <w:rsid w:val="00BC3DD4"/>
    <w:rsid w:val="00BC3EF2"/>
    <w:rsid w:val="00BC4E52"/>
    <w:rsid w:val="00BC503A"/>
    <w:rsid w:val="00BC56A1"/>
    <w:rsid w:val="00BC5BA5"/>
    <w:rsid w:val="00BC5C98"/>
    <w:rsid w:val="00BC6B29"/>
    <w:rsid w:val="00BC6C3E"/>
    <w:rsid w:val="00BC6E4F"/>
    <w:rsid w:val="00BC6EC5"/>
    <w:rsid w:val="00BC6FC4"/>
    <w:rsid w:val="00BD0104"/>
    <w:rsid w:val="00BD1E4F"/>
    <w:rsid w:val="00BD2171"/>
    <w:rsid w:val="00BD28AD"/>
    <w:rsid w:val="00BD28D6"/>
    <w:rsid w:val="00BD2B58"/>
    <w:rsid w:val="00BD310B"/>
    <w:rsid w:val="00BD3593"/>
    <w:rsid w:val="00BD37A8"/>
    <w:rsid w:val="00BD4146"/>
    <w:rsid w:val="00BD49CB"/>
    <w:rsid w:val="00BD4FB6"/>
    <w:rsid w:val="00BD527D"/>
    <w:rsid w:val="00BD59CC"/>
    <w:rsid w:val="00BD6E5E"/>
    <w:rsid w:val="00BD7AEB"/>
    <w:rsid w:val="00BD7D18"/>
    <w:rsid w:val="00BE02DE"/>
    <w:rsid w:val="00BE0833"/>
    <w:rsid w:val="00BE092C"/>
    <w:rsid w:val="00BE1ECF"/>
    <w:rsid w:val="00BE1F28"/>
    <w:rsid w:val="00BE280D"/>
    <w:rsid w:val="00BE3C51"/>
    <w:rsid w:val="00BE40EC"/>
    <w:rsid w:val="00BE4AE8"/>
    <w:rsid w:val="00BE4CBB"/>
    <w:rsid w:val="00BE57DC"/>
    <w:rsid w:val="00BE59DF"/>
    <w:rsid w:val="00BE612B"/>
    <w:rsid w:val="00BE644E"/>
    <w:rsid w:val="00BE7A1B"/>
    <w:rsid w:val="00BE7B9B"/>
    <w:rsid w:val="00BF0236"/>
    <w:rsid w:val="00BF0724"/>
    <w:rsid w:val="00BF0818"/>
    <w:rsid w:val="00BF0DDC"/>
    <w:rsid w:val="00BF1D96"/>
    <w:rsid w:val="00BF2260"/>
    <w:rsid w:val="00BF28B9"/>
    <w:rsid w:val="00BF2D23"/>
    <w:rsid w:val="00BF324C"/>
    <w:rsid w:val="00BF340F"/>
    <w:rsid w:val="00BF4242"/>
    <w:rsid w:val="00BF429E"/>
    <w:rsid w:val="00BF43DE"/>
    <w:rsid w:val="00BF45AB"/>
    <w:rsid w:val="00BF47C9"/>
    <w:rsid w:val="00BF4879"/>
    <w:rsid w:val="00BF4F18"/>
    <w:rsid w:val="00BF5051"/>
    <w:rsid w:val="00BF569E"/>
    <w:rsid w:val="00BF57CC"/>
    <w:rsid w:val="00BF6A09"/>
    <w:rsid w:val="00BF6E77"/>
    <w:rsid w:val="00BF6FD6"/>
    <w:rsid w:val="00BF7142"/>
    <w:rsid w:val="00C0026B"/>
    <w:rsid w:val="00C00853"/>
    <w:rsid w:val="00C011BB"/>
    <w:rsid w:val="00C013FE"/>
    <w:rsid w:val="00C01CC6"/>
    <w:rsid w:val="00C01D92"/>
    <w:rsid w:val="00C0263B"/>
    <w:rsid w:val="00C02657"/>
    <w:rsid w:val="00C02EAE"/>
    <w:rsid w:val="00C0402D"/>
    <w:rsid w:val="00C0471F"/>
    <w:rsid w:val="00C05E55"/>
    <w:rsid w:val="00C06019"/>
    <w:rsid w:val="00C06245"/>
    <w:rsid w:val="00C068E1"/>
    <w:rsid w:val="00C06CEF"/>
    <w:rsid w:val="00C06D14"/>
    <w:rsid w:val="00C077E9"/>
    <w:rsid w:val="00C1068A"/>
    <w:rsid w:val="00C10C65"/>
    <w:rsid w:val="00C116EB"/>
    <w:rsid w:val="00C11985"/>
    <w:rsid w:val="00C11EB5"/>
    <w:rsid w:val="00C1258F"/>
    <w:rsid w:val="00C128D3"/>
    <w:rsid w:val="00C12F7A"/>
    <w:rsid w:val="00C13210"/>
    <w:rsid w:val="00C133FA"/>
    <w:rsid w:val="00C14180"/>
    <w:rsid w:val="00C1420C"/>
    <w:rsid w:val="00C14461"/>
    <w:rsid w:val="00C14493"/>
    <w:rsid w:val="00C144F5"/>
    <w:rsid w:val="00C14B01"/>
    <w:rsid w:val="00C14B34"/>
    <w:rsid w:val="00C14BD5"/>
    <w:rsid w:val="00C1546E"/>
    <w:rsid w:val="00C15DE5"/>
    <w:rsid w:val="00C160A9"/>
    <w:rsid w:val="00C1649B"/>
    <w:rsid w:val="00C1650C"/>
    <w:rsid w:val="00C1691A"/>
    <w:rsid w:val="00C17BD2"/>
    <w:rsid w:val="00C17CB6"/>
    <w:rsid w:val="00C20408"/>
    <w:rsid w:val="00C21166"/>
    <w:rsid w:val="00C21E0C"/>
    <w:rsid w:val="00C22B22"/>
    <w:rsid w:val="00C23113"/>
    <w:rsid w:val="00C2334D"/>
    <w:rsid w:val="00C240C6"/>
    <w:rsid w:val="00C242F8"/>
    <w:rsid w:val="00C2459A"/>
    <w:rsid w:val="00C245D0"/>
    <w:rsid w:val="00C25A23"/>
    <w:rsid w:val="00C25AD4"/>
    <w:rsid w:val="00C25E58"/>
    <w:rsid w:val="00C2676B"/>
    <w:rsid w:val="00C2698E"/>
    <w:rsid w:val="00C26B5C"/>
    <w:rsid w:val="00C26E86"/>
    <w:rsid w:val="00C2757C"/>
    <w:rsid w:val="00C27FF7"/>
    <w:rsid w:val="00C3022B"/>
    <w:rsid w:val="00C30642"/>
    <w:rsid w:val="00C30672"/>
    <w:rsid w:val="00C31137"/>
    <w:rsid w:val="00C31CE7"/>
    <w:rsid w:val="00C32219"/>
    <w:rsid w:val="00C32FF7"/>
    <w:rsid w:val="00C33292"/>
    <w:rsid w:val="00C3350D"/>
    <w:rsid w:val="00C3364F"/>
    <w:rsid w:val="00C33DFF"/>
    <w:rsid w:val="00C344C1"/>
    <w:rsid w:val="00C3451C"/>
    <w:rsid w:val="00C35422"/>
    <w:rsid w:val="00C35F01"/>
    <w:rsid w:val="00C36027"/>
    <w:rsid w:val="00C362E7"/>
    <w:rsid w:val="00C36487"/>
    <w:rsid w:val="00C36927"/>
    <w:rsid w:val="00C36B59"/>
    <w:rsid w:val="00C36E52"/>
    <w:rsid w:val="00C370F5"/>
    <w:rsid w:val="00C37A28"/>
    <w:rsid w:val="00C4129B"/>
    <w:rsid w:val="00C413BD"/>
    <w:rsid w:val="00C415B5"/>
    <w:rsid w:val="00C41AA2"/>
    <w:rsid w:val="00C42176"/>
    <w:rsid w:val="00C42E3C"/>
    <w:rsid w:val="00C43246"/>
    <w:rsid w:val="00C43AA9"/>
    <w:rsid w:val="00C44E87"/>
    <w:rsid w:val="00C45FA8"/>
    <w:rsid w:val="00C46120"/>
    <w:rsid w:val="00C46491"/>
    <w:rsid w:val="00C469BB"/>
    <w:rsid w:val="00C46C07"/>
    <w:rsid w:val="00C47357"/>
    <w:rsid w:val="00C501C0"/>
    <w:rsid w:val="00C5031B"/>
    <w:rsid w:val="00C50434"/>
    <w:rsid w:val="00C52AFB"/>
    <w:rsid w:val="00C52FCA"/>
    <w:rsid w:val="00C5308A"/>
    <w:rsid w:val="00C534B5"/>
    <w:rsid w:val="00C5391C"/>
    <w:rsid w:val="00C539BE"/>
    <w:rsid w:val="00C54C2A"/>
    <w:rsid w:val="00C557B2"/>
    <w:rsid w:val="00C55DDB"/>
    <w:rsid w:val="00C5601E"/>
    <w:rsid w:val="00C563F9"/>
    <w:rsid w:val="00C570A4"/>
    <w:rsid w:val="00C57355"/>
    <w:rsid w:val="00C57E87"/>
    <w:rsid w:val="00C6089A"/>
    <w:rsid w:val="00C618A4"/>
    <w:rsid w:val="00C619B1"/>
    <w:rsid w:val="00C6219D"/>
    <w:rsid w:val="00C62C46"/>
    <w:rsid w:val="00C63321"/>
    <w:rsid w:val="00C63408"/>
    <w:rsid w:val="00C637D7"/>
    <w:rsid w:val="00C63C65"/>
    <w:rsid w:val="00C63DA0"/>
    <w:rsid w:val="00C65E27"/>
    <w:rsid w:val="00C66467"/>
    <w:rsid w:val="00C669EA"/>
    <w:rsid w:val="00C670AD"/>
    <w:rsid w:val="00C6759E"/>
    <w:rsid w:val="00C67FB4"/>
    <w:rsid w:val="00C70016"/>
    <w:rsid w:val="00C70162"/>
    <w:rsid w:val="00C70934"/>
    <w:rsid w:val="00C71A35"/>
    <w:rsid w:val="00C72544"/>
    <w:rsid w:val="00C72A8B"/>
    <w:rsid w:val="00C72C61"/>
    <w:rsid w:val="00C7326E"/>
    <w:rsid w:val="00C7337B"/>
    <w:rsid w:val="00C733CB"/>
    <w:rsid w:val="00C73658"/>
    <w:rsid w:val="00C750E0"/>
    <w:rsid w:val="00C7583D"/>
    <w:rsid w:val="00C75E16"/>
    <w:rsid w:val="00C760EA"/>
    <w:rsid w:val="00C76673"/>
    <w:rsid w:val="00C76DA6"/>
    <w:rsid w:val="00C770B2"/>
    <w:rsid w:val="00C779E1"/>
    <w:rsid w:val="00C800A7"/>
    <w:rsid w:val="00C808B2"/>
    <w:rsid w:val="00C81632"/>
    <w:rsid w:val="00C8187B"/>
    <w:rsid w:val="00C81C8B"/>
    <w:rsid w:val="00C81D43"/>
    <w:rsid w:val="00C82267"/>
    <w:rsid w:val="00C82493"/>
    <w:rsid w:val="00C82F9B"/>
    <w:rsid w:val="00C83344"/>
    <w:rsid w:val="00C838FE"/>
    <w:rsid w:val="00C83AB4"/>
    <w:rsid w:val="00C8419B"/>
    <w:rsid w:val="00C845D8"/>
    <w:rsid w:val="00C85992"/>
    <w:rsid w:val="00C85E95"/>
    <w:rsid w:val="00C86009"/>
    <w:rsid w:val="00C86859"/>
    <w:rsid w:val="00C86903"/>
    <w:rsid w:val="00C86BF3"/>
    <w:rsid w:val="00C86CE4"/>
    <w:rsid w:val="00C874CE"/>
    <w:rsid w:val="00C87653"/>
    <w:rsid w:val="00C876CC"/>
    <w:rsid w:val="00C877B1"/>
    <w:rsid w:val="00C906C2"/>
    <w:rsid w:val="00C90DEB"/>
    <w:rsid w:val="00C91BD8"/>
    <w:rsid w:val="00C91FA4"/>
    <w:rsid w:val="00C92067"/>
    <w:rsid w:val="00C922C7"/>
    <w:rsid w:val="00C9248A"/>
    <w:rsid w:val="00C93472"/>
    <w:rsid w:val="00C93652"/>
    <w:rsid w:val="00C94409"/>
    <w:rsid w:val="00C94427"/>
    <w:rsid w:val="00C94874"/>
    <w:rsid w:val="00C94B97"/>
    <w:rsid w:val="00C962BF"/>
    <w:rsid w:val="00C966E6"/>
    <w:rsid w:val="00C970C3"/>
    <w:rsid w:val="00C970D2"/>
    <w:rsid w:val="00C972AC"/>
    <w:rsid w:val="00C9748D"/>
    <w:rsid w:val="00C97C43"/>
    <w:rsid w:val="00CA07AF"/>
    <w:rsid w:val="00CA123B"/>
    <w:rsid w:val="00CA19A5"/>
    <w:rsid w:val="00CA2217"/>
    <w:rsid w:val="00CA22E9"/>
    <w:rsid w:val="00CA2578"/>
    <w:rsid w:val="00CA2C5A"/>
    <w:rsid w:val="00CA3353"/>
    <w:rsid w:val="00CA47C5"/>
    <w:rsid w:val="00CA4DF4"/>
    <w:rsid w:val="00CA54E7"/>
    <w:rsid w:val="00CA58E7"/>
    <w:rsid w:val="00CA5EDE"/>
    <w:rsid w:val="00CA675C"/>
    <w:rsid w:val="00CA67BC"/>
    <w:rsid w:val="00CA6A66"/>
    <w:rsid w:val="00CA6D9B"/>
    <w:rsid w:val="00CA7DA6"/>
    <w:rsid w:val="00CB05D7"/>
    <w:rsid w:val="00CB0897"/>
    <w:rsid w:val="00CB0CF6"/>
    <w:rsid w:val="00CB1884"/>
    <w:rsid w:val="00CB18E7"/>
    <w:rsid w:val="00CB21FC"/>
    <w:rsid w:val="00CB24B4"/>
    <w:rsid w:val="00CB2647"/>
    <w:rsid w:val="00CB29DE"/>
    <w:rsid w:val="00CB31F7"/>
    <w:rsid w:val="00CB3396"/>
    <w:rsid w:val="00CB4A2B"/>
    <w:rsid w:val="00CB51CB"/>
    <w:rsid w:val="00CB5277"/>
    <w:rsid w:val="00CB5719"/>
    <w:rsid w:val="00CB5BA6"/>
    <w:rsid w:val="00CB5BD1"/>
    <w:rsid w:val="00CB5CA0"/>
    <w:rsid w:val="00CB60EF"/>
    <w:rsid w:val="00CB6883"/>
    <w:rsid w:val="00CB6DA6"/>
    <w:rsid w:val="00CB6F2C"/>
    <w:rsid w:val="00CC0CB4"/>
    <w:rsid w:val="00CC13DA"/>
    <w:rsid w:val="00CC15EF"/>
    <w:rsid w:val="00CC1D6F"/>
    <w:rsid w:val="00CC2324"/>
    <w:rsid w:val="00CC263E"/>
    <w:rsid w:val="00CC2E6F"/>
    <w:rsid w:val="00CC40E2"/>
    <w:rsid w:val="00CC4254"/>
    <w:rsid w:val="00CC4C5E"/>
    <w:rsid w:val="00CC527A"/>
    <w:rsid w:val="00CC5B69"/>
    <w:rsid w:val="00CC5BF6"/>
    <w:rsid w:val="00CC609A"/>
    <w:rsid w:val="00CC629A"/>
    <w:rsid w:val="00CC6573"/>
    <w:rsid w:val="00CC6B44"/>
    <w:rsid w:val="00CC7424"/>
    <w:rsid w:val="00CC7984"/>
    <w:rsid w:val="00CD0078"/>
    <w:rsid w:val="00CD19B6"/>
    <w:rsid w:val="00CD1A6A"/>
    <w:rsid w:val="00CD22FF"/>
    <w:rsid w:val="00CD2A38"/>
    <w:rsid w:val="00CD3D44"/>
    <w:rsid w:val="00CD3FB4"/>
    <w:rsid w:val="00CD45EB"/>
    <w:rsid w:val="00CD4E4A"/>
    <w:rsid w:val="00CD506D"/>
    <w:rsid w:val="00CD5F3D"/>
    <w:rsid w:val="00CD63B7"/>
    <w:rsid w:val="00CD671B"/>
    <w:rsid w:val="00CD6807"/>
    <w:rsid w:val="00CE0018"/>
    <w:rsid w:val="00CE045B"/>
    <w:rsid w:val="00CE0804"/>
    <w:rsid w:val="00CE0DED"/>
    <w:rsid w:val="00CE12FA"/>
    <w:rsid w:val="00CE17F3"/>
    <w:rsid w:val="00CE1916"/>
    <w:rsid w:val="00CE1FCA"/>
    <w:rsid w:val="00CE221F"/>
    <w:rsid w:val="00CE22B2"/>
    <w:rsid w:val="00CE33C9"/>
    <w:rsid w:val="00CE35AC"/>
    <w:rsid w:val="00CE3820"/>
    <w:rsid w:val="00CE3CEB"/>
    <w:rsid w:val="00CE4027"/>
    <w:rsid w:val="00CE4A24"/>
    <w:rsid w:val="00CE4DF0"/>
    <w:rsid w:val="00CE52CE"/>
    <w:rsid w:val="00CE5F21"/>
    <w:rsid w:val="00CE61D2"/>
    <w:rsid w:val="00CE6A04"/>
    <w:rsid w:val="00CE6CC3"/>
    <w:rsid w:val="00CE6F3E"/>
    <w:rsid w:val="00CE74EA"/>
    <w:rsid w:val="00CE760E"/>
    <w:rsid w:val="00CE76FB"/>
    <w:rsid w:val="00CE7B53"/>
    <w:rsid w:val="00CE7E9D"/>
    <w:rsid w:val="00CE7FA6"/>
    <w:rsid w:val="00CF0337"/>
    <w:rsid w:val="00CF12DC"/>
    <w:rsid w:val="00CF1585"/>
    <w:rsid w:val="00CF25BB"/>
    <w:rsid w:val="00CF2B60"/>
    <w:rsid w:val="00CF2BE6"/>
    <w:rsid w:val="00CF38C9"/>
    <w:rsid w:val="00CF46B6"/>
    <w:rsid w:val="00CF49D0"/>
    <w:rsid w:val="00CF5603"/>
    <w:rsid w:val="00CF5C77"/>
    <w:rsid w:val="00CF5FA3"/>
    <w:rsid w:val="00CF655A"/>
    <w:rsid w:val="00CF6FCE"/>
    <w:rsid w:val="00CF79A3"/>
    <w:rsid w:val="00CF7BF0"/>
    <w:rsid w:val="00D0026E"/>
    <w:rsid w:val="00D011D0"/>
    <w:rsid w:val="00D01802"/>
    <w:rsid w:val="00D01E45"/>
    <w:rsid w:val="00D01E6A"/>
    <w:rsid w:val="00D02174"/>
    <w:rsid w:val="00D02345"/>
    <w:rsid w:val="00D02723"/>
    <w:rsid w:val="00D02EC0"/>
    <w:rsid w:val="00D05039"/>
    <w:rsid w:val="00D05E0D"/>
    <w:rsid w:val="00D05EE9"/>
    <w:rsid w:val="00D06A5B"/>
    <w:rsid w:val="00D0774E"/>
    <w:rsid w:val="00D07754"/>
    <w:rsid w:val="00D07808"/>
    <w:rsid w:val="00D07824"/>
    <w:rsid w:val="00D10269"/>
    <w:rsid w:val="00D103AA"/>
    <w:rsid w:val="00D10792"/>
    <w:rsid w:val="00D10BA5"/>
    <w:rsid w:val="00D10DFB"/>
    <w:rsid w:val="00D10FCD"/>
    <w:rsid w:val="00D117AC"/>
    <w:rsid w:val="00D11ECB"/>
    <w:rsid w:val="00D11ED6"/>
    <w:rsid w:val="00D11F15"/>
    <w:rsid w:val="00D1235D"/>
    <w:rsid w:val="00D123E9"/>
    <w:rsid w:val="00D12579"/>
    <w:rsid w:val="00D137BD"/>
    <w:rsid w:val="00D1386E"/>
    <w:rsid w:val="00D13AA4"/>
    <w:rsid w:val="00D13BC6"/>
    <w:rsid w:val="00D1415B"/>
    <w:rsid w:val="00D14C2F"/>
    <w:rsid w:val="00D150B9"/>
    <w:rsid w:val="00D15298"/>
    <w:rsid w:val="00D16003"/>
    <w:rsid w:val="00D173B1"/>
    <w:rsid w:val="00D17588"/>
    <w:rsid w:val="00D17CCF"/>
    <w:rsid w:val="00D2069D"/>
    <w:rsid w:val="00D21560"/>
    <w:rsid w:val="00D21F99"/>
    <w:rsid w:val="00D22161"/>
    <w:rsid w:val="00D2270D"/>
    <w:rsid w:val="00D23486"/>
    <w:rsid w:val="00D2357C"/>
    <w:rsid w:val="00D24742"/>
    <w:rsid w:val="00D24A65"/>
    <w:rsid w:val="00D250F2"/>
    <w:rsid w:val="00D255F5"/>
    <w:rsid w:val="00D25D04"/>
    <w:rsid w:val="00D26098"/>
    <w:rsid w:val="00D2668E"/>
    <w:rsid w:val="00D26D08"/>
    <w:rsid w:val="00D27073"/>
    <w:rsid w:val="00D27ADA"/>
    <w:rsid w:val="00D3037C"/>
    <w:rsid w:val="00D30514"/>
    <w:rsid w:val="00D3055F"/>
    <w:rsid w:val="00D30914"/>
    <w:rsid w:val="00D309B8"/>
    <w:rsid w:val="00D311A5"/>
    <w:rsid w:val="00D31672"/>
    <w:rsid w:val="00D31F55"/>
    <w:rsid w:val="00D32399"/>
    <w:rsid w:val="00D32573"/>
    <w:rsid w:val="00D32662"/>
    <w:rsid w:val="00D32AFC"/>
    <w:rsid w:val="00D32B58"/>
    <w:rsid w:val="00D32BDB"/>
    <w:rsid w:val="00D33241"/>
    <w:rsid w:val="00D334E3"/>
    <w:rsid w:val="00D33614"/>
    <w:rsid w:val="00D339A6"/>
    <w:rsid w:val="00D33ECC"/>
    <w:rsid w:val="00D3445A"/>
    <w:rsid w:val="00D34F56"/>
    <w:rsid w:val="00D35A6B"/>
    <w:rsid w:val="00D36523"/>
    <w:rsid w:val="00D36F1D"/>
    <w:rsid w:val="00D37DF6"/>
    <w:rsid w:val="00D403D3"/>
    <w:rsid w:val="00D417DE"/>
    <w:rsid w:val="00D4260C"/>
    <w:rsid w:val="00D4273C"/>
    <w:rsid w:val="00D42910"/>
    <w:rsid w:val="00D42CAB"/>
    <w:rsid w:val="00D435B4"/>
    <w:rsid w:val="00D43BE2"/>
    <w:rsid w:val="00D44368"/>
    <w:rsid w:val="00D444C3"/>
    <w:rsid w:val="00D448AC"/>
    <w:rsid w:val="00D44BBE"/>
    <w:rsid w:val="00D44CC0"/>
    <w:rsid w:val="00D4500F"/>
    <w:rsid w:val="00D45DAC"/>
    <w:rsid w:val="00D4600D"/>
    <w:rsid w:val="00D46231"/>
    <w:rsid w:val="00D46919"/>
    <w:rsid w:val="00D46BC7"/>
    <w:rsid w:val="00D46C58"/>
    <w:rsid w:val="00D474A9"/>
    <w:rsid w:val="00D47827"/>
    <w:rsid w:val="00D47AFE"/>
    <w:rsid w:val="00D47DFA"/>
    <w:rsid w:val="00D50407"/>
    <w:rsid w:val="00D505A2"/>
    <w:rsid w:val="00D50753"/>
    <w:rsid w:val="00D50934"/>
    <w:rsid w:val="00D50F78"/>
    <w:rsid w:val="00D51DE0"/>
    <w:rsid w:val="00D52A70"/>
    <w:rsid w:val="00D52C8A"/>
    <w:rsid w:val="00D52D5D"/>
    <w:rsid w:val="00D52DEF"/>
    <w:rsid w:val="00D52F6D"/>
    <w:rsid w:val="00D531F8"/>
    <w:rsid w:val="00D537FF"/>
    <w:rsid w:val="00D5421A"/>
    <w:rsid w:val="00D5484F"/>
    <w:rsid w:val="00D54C93"/>
    <w:rsid w:val="00D55177"/>
    <w:rsid w:val="00D55445"/>
    <w:rsid w:val="00D559F6"/>
    <w:rsid w:val="00D55C8E"/>
    <w:rsid w:val="00D57775"/>
    <w:rsid w:val="00D577CA"/>
    <w:rsid w:val="00D57D1B"/>
    <w:rsid w:val="00D57D6F"/>
    <w:rsid w:val="00D60706"/>
    <w:rsid w:val="00D6261F"/>
    <w:rsid w:val="00D62B7E"/>
    <w:rsid w:val="00D62E5A"/>
    <w:rsid w:val="00D637E9"/>
    <w:rsid w:val="00D6392B"/>
    <w:rsid w:val="00D63946"/>
    <w:rsid w:val="00D641A6"/>
    <w:rsid w:val="00D64517"/>
    <w:rsid w:val="00D64B40"/>
    <w:rsid w:val="00D64F03"/>
    <w:rsid w:val="00D6689F"/>
    <w:rsid w:val="00D668A0"/>
    <w:rsid w:val="00D66B6C"/>
    <w:rsid w:val="00D66D60"/>
    <w:rsid w:val="00D66D89"/>
    <w:rsid w:val="00D66F4C"/>
    <w:rsid w:val="00D67F04"/>
    <w:rsid w:val="00D70503"/>
    <w:rsid w:val="00D70877"/>
    <w:rsid w:val="00D70CC6"/>
    <w:rsid w:val="00D7111F"/>
    <w:rsid w:val="00D718A2"/>
    <w:rsid w:val="00D71A90"/>
    <w:rsid w:val="00D71DD9"/>
    <w:rsid w:val="00D72866"/>
    <w:rsid w:val="00D72F92"/>
    <w:rsid w:val="00D7327B"/>
    <w:rsid w:val="00D73466"/>
    <w:rsid w:val="00D73504"/>
    <w:rsid w:val="00D73F10"/>
    <w:rsid w:val="00D741E0"/>
    <w:rsid w:val="00D74296"/>
    <w:rsid w:val="00D75957"/>
    <w:rsid w:val="00D75A90"/>
    <w:rsid w:val="00D77281"/>
    <w:rsid w:val="00D773F0"/>
    <w:rsid w:val="00D7765B"/>
    <w:rsid w:val="00D7793C"/>
    <w:rsid w:val="00D77F6F"/>
    <w:rsid w:val="00D8001A"/>
    <w:rsid w:val="00D800D8"/>
    <w:rsid w:val="00D802D3"/>
    <w:rsid w:val="00D8049C"/>
    <w:rsid w:val="00D804FC"/>
    <w:rsid w:val="00D81159"/>
    <w:rsid w:val="00D814FC"/>
    <w:rsid w:val="00D81789"/>
    <w:rsid w:val="00D82121"/>
    <w:rsid w:val="00D822F3"/>
    <w:rsid w:val="00D825C0"/>
    <w:rsid w:val="00D8294C"/>
    <w:rsid w:val="00D82A65"/>
    <w:rsid w:val="00D83478"/>
    <w:rsid w:val="00D83E24"/>
    <w:rsid w:val="00D84024"/>
    <w:rsid w:val="00D849BF"/>
    <w:rsid w:val="00D85EF6"/>
    <w:rsid w:val="00D8661A"/>
    <w:rsid w:val="00D867B8"/>
    <w:rsid w:val="00D870AB"/>
    <w:rsid w:val="00D90466"/>
    <w:rsid w:val="00D90944"/>
    <w:rsid w:val="00D90C29"/>
    <w:rsid w:val="00D90CA0"/>
    <w:rsid w:val="00D918A9"/>
    <w:rsid w:val="00D91BBF"/>
    <w:rsid w:val="00D91D73"/>
    <w:rsid w:val="00D927DE"/>
    <w:rsid w:val="00D93464"/>
    <w:rsid w:val="00D93B99"/>
    <w:rsid w:val="00D95D14"/>
    <w:rsid w:val="00D95F38"/>
    <w:rsid w:val="00D965AB"/>
    <w:rsid w:val="00D968E4"/>
    <w:rsid w:val="00D96FB4"/>
    <w:rsid w:val="00D974BB"/>
    <w:rsid w:val="00D974C3"/>
    <w:rsid w:val="00D9776C"/>
    <w:rsid w:val="00D97CFA"/>
    <w:rsid w:val="00DA0146"/>
    <w:rsid w:val="00DA10A6"/>
    <w:rsid w:val="00DA13D8"/>
    <w:rsid w:val="00DA1493"/>
    <w:rsid w:val="00DA16A1"/>
    <w:rsid w:val="00DA2597"/>
    <w:rsid w:val="00DA29F9"/>
    <w:rsid w:val="00DA2A38"/>
    <w:rsid w:val="00DA3EDC"/>
    <w:rsid w:val="00DA3EFD"/>
    <w:rsid w:val="00DA3FA8"/>
    <w:rsid w:val="00DA4CCB"/>
    <w:rsid w:val="00DA5D2E"/>
    <w:rsid w:val="00DA6EEB"/>
    <w:rsid w:val="00DA756C"/>
    <w:rsid w:val="00DA75AA"/>
    <w:rsid w:val="00DA777F"/>
    <w:rsid w:val="00DB01F9"/>
    <w:rsid w:val="00DB18C8"/>
    <w:rsid w:val="00DB2C75"/>
    <w:rsid w:val="00DB44B1"/>
    <w:rsid w:val="00DB4716"/>
    <w:rsid w:val="00DB58A6"/>
    <w:rsid w:val="00DB5D90"/>
    <w:rsid w:val="00DB6192"/>
    <w:rsid w:val="00DB6304"/>
    <w:rsid w:val="00DB6381"/>
    <w:rsid w:val="00DB718C"/>
    <w:rsid w:val="00DB73A0"/>
    <w:rsid w:val="00DB75A2"/>
    <w:rsid w:val="00DB7767"/>
    <w:rsid w:val="00DB7913"/>
    <w:rsid w:val="00DB79BC"/>
    <w:rsid w:val="00DB7AF8"/>
    <w:rsid w:val="00DC0708"/>
    <w:rsid w:val="00DC1233"/>
    <w:rsid w:val="00DC3553"/>
    <w:rsid w:val="00DC3A40"/>
    <w:rsid w:val="00DC3D41"/>
    <w:rsid w:val="00DC3F03"/>
    <w:rsid w:val="00DC4035"/>
    <w:rsid w:val="00DC428A"/>
    <w:rsid w:val="00DC4532"/>
    <w:rsid w:val="00DC4C40"/>
    <w:rsid w:val="00DC5661"/>
    <w:rsid w:val="00DC5C97"/>
    <w:rsid w:val="00DC5D62"/>
    <w:rsid w:val="00DC6207"/>
    <w:rsid w:val="00DC652C"/>
    <w:rsid w:val="00DC6DE5"/>
    <w:rsid w:val="00DC6EBF"/>
    <w:rsid w:val="00DC7972"/>
    <w:rsid w:val="00DC7BA7"/>
    <w:rsid w:val="00DD0001"/>
    <w:rsid w:val="00DD0093"/>
    <w:rsid w:val="00DD0DCB"/>
    <w:rsid w:val="00DD1101"/>
    <w:rsid w:val="00DD1785"/>
    <w:rsid w:val="00DD2736"/>
    <w:rsid w:val="00DD3328"/>
    <w:rsid w:val="00DD3A67"/>
    <w:rsid w:val="00DD3E19"/>
    <w:rsid w:val="00DD5371"/>
    <w:rsid w:val="00DD55EA"/>
    <w:rsid w:val="00DD596D"/>
    <w:rsid w:val="00DD5E8B"/>
    <w:rsid w:val="00DD71A4"/>
    <w:rsid w:val="00DD776F"/>
    <w:rsid w:val="00DE02C4"/>
    <w:rsid w:val="00DE0A7E"/>
    <w:rsid w:val="00DE1CCA"/>
    <w:rsid w:val="00DE1E4E"/>
    <w:rsid w:val="00DE26A4"/>
    <w:rsid w:val="00DE2D11"/>
    <w:rsid w:val="00DE2DCD"/>
    <w:rsid w:val="00DE2E41"/>
    <w:rsid w:val="00DE3040"/>
    <w:rsid w:val="00DE325F"/>
    <w:rsid w:val="00DE4CFF"/>
    <w:rsid w:val="00DE4D9A"/>
    <w:rsid w:val="00DE54FD"/>
    <w:rsid w:val="00DE5601"/>
    <w:rsid w:val="00DE6C7E"/>
    <w:rsid w:val="00DE7309"/>
    <w:rsid w:val="00DE7C60"/>
    <w:rsid w:val="00DE7F58"/>
    <w:rsid w:val="00DF04D8"/>
    <w:rsid w:val="00DF059B"/>
    <w:rsid w:val="00DF065D"/>
    <w:rsid w:val="00DF0AF9"/>
    <w:rsid w:val="00DF0E66"/>
    <w:rsid w:val="00DF130C"/>
    <w:rsid w:val="00DF14AD"/>
    <w:rsid w:val="00DF1A7A"/>
    <w:rsid w:val="00DF24A0"/>
    <w:rsid w:val="00DF2A8C"/>
    <w:rsid w:val="00DF31B3"/>
    <w:rsid w:val="00DF3394"/>
    <w:rsid w:val="00DF4895"/>
    <w:rsid w:val="00DF4A18"/>
    <w:rsid w:val="00DF4DF8"/>
    <w:rsid w:val="00DF544C"/>
    <w:rsid w:val="00DF54F1"/>
    <w:rsid w:val="00DF5B53"/>
    <w:rsid w:val="00DF6678"/>
    <w:rsid w:val="00DF6A12"/>
    <w:rsid w:val="00DF6AA3"/>
    <w:rsid w:val="00DF6E33"/>
    <w:rsid w:val="00E000C4"/>
    <w:rsid w:val="00E001C4"/>
    <w:rsid w:val="00E002C7"/>
    <w:rsid w:val="00E01281"/>
    <w:rsid w:val="00E0180F"/>
    <w:rsid w:val="00E01C0A"/>
    <w:rsid w:val="00E022CF"/>
    <w:rsid w:val="00E02917"/>
    <w:rsid w:val="00E02E38"/>
    <w:rsid w:val="00E036C7"/>
    <w:rsid w:val="00E03DA2"/>
    <w:rsid w:val="00E04C4D"/>
    <w:rsid w:val="00E05A90"/>
    <w:rsid w:val="00E05BAB"/>
    <w:rsid w:val="00E06C23"/>
    <w:rsid w:val="00E070B7"/>
    <w:rsid w:val="00E0744C"/>
    <w:rsid w:val="00E0761E"/>
    <w:rsid w:val="00E079B1"/>
    <w:rsid w:val="00E07CC7"/>
    <w:rsid w:val="00E10145"/>
    <w:rsid w:val="00E102A8"/>
    <w:rsid w:val="00E10899"/>
    <w:rsid w:val="00E113C3"/>
    <w:rsid w:val="00E117D8"/>
    <w:rsid w:val="00E11E8A"/>
    <w:rsid w:val="00E12AEA"/>
    <w:rsid w:val="00E12DE3"/>
    <w:rsid w:val="00E12E11"/>
    <w:rsid w:val="00E12F36"/>
    <w:rsid w:val="00E13048"/>
    <w:rsid w:val="00E133E9"/>
    <w:rsid w:val="00E134F5"/>
    <w:rsid w:val="00E14068"/>
    <w:rsid w:val="00E149C3"/>
    <w:rsid w:val="00E14BE1"/>
    <w:rsid w:val="00E14F70"/>
    <w:rsid w:val="00E152CA"/>
    <w:rsid w:val="00E1536C"/>
    <w:rsid w:val="00E1582F"/>
    <w:rsid w:val="00E163F4"/>
    <w:rsid w:val="00E165C7"/>
    <w:rsid w:val="00E16ED0"/>
    <w:rsid w:val="00E17460"/>
    <w:rsid w:val="00E20010"/>
    <w:rsid w:val="00E2053E"/>
    <w:rsid w:val="00E205A0"/>
    <w:rsid w:val="00E206D8"/>
    <w:rsid w:val="00E208C3"/>
    <w:rsid w:val="00E20B97"/>
    <w:rsid w:val="00E21D52"/>
    <w:rsid w:val="00E220E8"/>
    <w:rsid w:val="00E221BD"/>
    <w:rsid w:val="00E22511"/>
    <w:rsid w:val="00E228FF"/>
    <w:rsid w:val="00E23821"/>
    <w:rsid w:val="00E24108"/>
    <w:rsid w:val="00E24DE5"/>
    <w:rsid w:val="00E24EB0"/>
    <w:rsid w:val="00E25376"/>
    <w:rsid w:val="00E253CF"/>
    <w:rsid w:val="00E26128"/>
    <w:rsid w:val="00E26D0D"/>
    <w:rsid w:val="00E26DD5"/>
    <w:rsid w:val="00E26DF3"/>
    <w:rsid w:val="00E30127"/>
    <w:rsid w:val="00E30517"/>
    <w:rsid w:val="00E30E06"/>
    <w:rsid w:val="00E31CEE"/>
    <w:rsid w:val="00E31F89"/>
    <w:rsid w:val="00E32362"/>
    <w:rsid w:val="00E32556"/>
    <w:rsid w:val="00E32A02"/>
    <w:rsid w:val="00E32F74"/>
    <w:rsid w:val="00E33506"/>
    <w:rsid w:val="00E33CA5"/>
    <w:rsid w:val="00E33FAC"/>
    <w:rsid w:val="00E34D04"/>
    <w:rsid w:val="00E358B5"/>
    <w:rsid w:val="00E360AB"/>
    <w:rsid w:val="00E360BE"/>
    <w:rsid w:val="00E36A4B"/>
    <w:rsid w:val="00E36CFC"/>
    <w:rsid w:val="00E37284"/>
    <w:rsid w:val="00E3790F"/>
    <w:rsid w:val="00E37F35"/>
    <w:rsid w:val="00E4028B"/>
    <w:rsid w:val="00E40F53"/>
    <w:rsid w:val="00E419B8"/>
    <w:rsid w:val="00E41A10"/>
    <w:rsid w:val="00E41A14"/>
    <w:rsid w:val="00E41A62"/>
    <w:rsid w:val="00E41C27"/>
    <w:rsid w:val="00E421E6"/>
    <w:rsid w:val="00E421EE"/>
    <w:rsid w:val="00E422F2"/>
    <w:rsid w:val="00E43963"/>
    <w:rsid w:val="00E43BE8"/>
    <w:rsid w:val="00E43E0D"/>
    <w:rsid w:val="00E4503A"/>
    <w:rsid w:val="00E45C49"/>
    <w:rsid w:val="00E45D7A"/>
    <w:rsid w:val="00E4674E"/>
    <w:rsid w:val="00E472D2"/>
    <w:rsid w:val="00E47672"/>
    <w:rsid w:val="00E47998"/>
    <w:rsid w:val="00E50A64"/>
    <w:rsid w:val="00E50D7A"/>
    <w:rsid w:val="00E50E1C"/>
    <w:rsid w:val="00E5168A"/>
    <w:rsid w:val="00E526A7"/>
    <w:rsid w:val="00E52A52"/>
    <w:rsid w:val="00E53F03"/>
    <w:rsid w:val="00E54195"/>
    <w:rsid w:val="00E5452A"/>
    <w:rsid w:val="00E5560F"/>
    <w:rsid w:val="00E55647"/>
    <w:rsid w:val="00E55685"/>
    <w:rsid w:val="00E558E0"/>
    <w:rsid w:val="00E55EDA"/>
    <w:rsid w:val="00E56BA5"/>
    <w:rsid w:val="00E56F29"/>
    <w:rsid w:val="00E575CC"/>
    <w:rsid w:val="00E57D38"/>
    <w:rsid w:val="00E608D9"/>
    <w:rsid w:val="00E60D04"/>
    <w:rsid w:val="00E614E2"/>
    <w:rsid w:val="00E6228F"/>
    <w:rsid w:val="00E62A6A"/>
    <w:rsid w:val="00E62C17"/>
    <w:rsid w:val="00E62D75"/>
    <w:rsid w:val="00E62F5B"/>
    <w:rsid w:val="00E62F78"/>
    <w:rsid w:val="00E6323E"/>
    <w:rsid w:val="00E63666"/>
    <w:rsid w:val="00E64CAF"/>
    <w:rsid w:val="00E65C6E"/>
    <w:rsid w:val="00E65FDD"/>
    <w:rsid w:val="00E66816"/>
    <w:rsid w:val="00E67C24"/>
    <w:rsid w:val="00E67D19"/>
    <w:rsid w:val="00E67EC6"/>
    <w:rsid w:val="00E70A04"/>
    <w:rsid w:val="00E71BB2"/>
    <w:rsid w:val="00E72B91"/>
    <w:rsid w:val="00E7354D"/>
    <w:rsid w:val="00E73AC9"/>
    <w:rsid w:val="00E741C9"/>
    <w:rsid w:val="00E7442F"/>
    <w:rsid w:val="00E747AE"/>
    <w:rsid w:val="00E74A11"/>
    <w:rsid w:val="00E7512A"/>
    <w:rsid w:val="00E75345"/>
    <w:rsid w:val="00E7580A"/>
    <w:rsid w:val="00E75BB6"/>
    <w:rsid w:val="00E75EA5"/>
    <w:rsid w:val="00E76261"/>
    <w:rsid w:val="00E76EFE"/>
    <w:rsid w:val="00E7743F"/>
    <w:rsid w:val="00E77C03"/>
    <w:rsid w:val="00E77F46"/>
    <w:rsid w:val="00E8053A"/>
    <w:rsid w:val="00E80FCE"/>
    <w:rsid w:val="00E81067"/>
    <w:rsid w:val="00E81095"/>
    <w:rsid w:val="00E811CA"/>
    <w:rsid w:val="00E8140F"/>
    <w:rsid w:val="00E8156D"/>
    <w:rsid w:val="00E819C8"/>
    <w:rsid w:val="00E81F76"/>
    <w:rsid w:val="00E82515"/>
    <w:rsid w:val="00E8254B"/>
    <w:rsid w:val="00E829AA"/>
    <w:rsid w:val="00E82EBD"/>
    <w:rsid w:val="00E83575"/>
    <w:rsid w:val="00E8374A"/>
    <w:rsid w:val="00E83958"/>
    <w:rsid w:val="00E83D24"/>
    <w:rsid w:val="00E83FCF"/>
    <w:rsid w:val="00E85865"/>
    <w:rsid w:val="00E85A26"/>
    <w:rsid w:val="00E85CE9"/>
    <w:rsid w:val="00E85CF8"/>
    <w:rsid w:val="00E85D69"/>
    <w:rsid w:val="00E85E0C"/>
    <w:rsid w:val="00E85E2E"/>
    <w:rsid w:val="00E86A4A"/>
    <w:rsid w:val="00E87351"/>
    <w:rsid w:val="00E87D7E"/>
    <w:rsid w:val="00E90B7F"/>
    <w:rsid w:val="00E90F8F"/>
    <w:rsid w:val="00E9135A"/>
    <w:rsid w:val="00E91558"/>
    <w:rsid w:val="00E91740"/>
    <w:rsid w:val="00E924CB"/>
    <w:rsid w:val="00E92CCC"/>
    <w:rsid w:val="00E93620"/>
    <w:rsid w:val="00E94031"/>
    <w:rsid w:val="00E947C4"/>
    <w:rsid w:val="00E94C82"/>
    <w:rsid w:val="00E9610C"/>
    <w:rsid w:val="00E96806"/>
    <w:rsid w:val="00E9771E"/>
    <w:rsid w:val="00E97C77"/>
    <w:rsid w:val="00E97E55"/>
    <w:rsid w:val="00EA0E51"/>
    <w:rsid w:val="00EA0F87"/>
    <w:rsid w:val="00EA1DF6"/>
    <w:rsid w:val="00EA1F02"/>
    <w:rsid w:val="00EA1F4D"/>
    <w:rsid w:val="00EA21FA"/>
    <w:rsid w:val="00EA3730"/>
    <w:rsid w:val="00EA5091"/>
    <w:rsid w:val="00EA50E8"/>
    <w:rsid w:val="00EA5571"/>
    <w:rsid w:val="00EA59EB"/>
    <w:rsid w:val="00EA5AB4"/>
    <w:rsid w:val="00EA5F2E"/>
    <w:rsid w:val="00EA60B7"/>
    <w:rsid w:val="00EA6180"/>
    <w:rsid w:val="00EA61B6"/>
    <w:rsid w:val="00EA63FE"/>
    <w:rsid w:val="00EA6938"/>
    <w:rsid w:val="00EA6D50"/>
    <w:rsid w:val="00EA6EA3"/>
    <w:rsid w:val="00EA7253"/>
    <w:rsid w:val="00EA76E4"/>
    <w:rsid w:val="00EB0BE3"/>
    <w:rsid w:val="00EB0BEA"/>
    <w:rsid w:val="00EB0C5E"/>
    <w:rsid w:val="00EB0E0E"/>
    <w:rsid w:val="00EB0EF5"/>
    <w:rsid w:val="00EB0F2F"/>
    <w:rsid w:val="00EB103D"/>
    <w:rsid w:val="00EB24BA"/>
    <w:rsid w:val="00EB270B"/>
    <w:rsid w:val="00EB325B"/>
    <w:rsid w:val="00EB46E3"/>
    <w:rsid w:val="00EB5CDD"/>
    <w:rsid w:val="00EB5D0B"/>
    <w:rsid w:val="00EB5F0A"/>
    <w:rsid w:val="00EB635A"/>
    <w:rsid w:val="00EB74B2"/>
    <w:rsid w:val="00EC00EF"/>
    <w:rsid w:val="00EC0DC3"/>
    <w:rsid w:val="00EC1149"/>
    <w:rsid w:val="00EC15F2"/>
    <w:rsid w:val="00EC2177"/>
    <w:rsid w:val="00EC24BD"/>
    <w:rsid w:val="00EC2690"/>
    <w:rsid w:val="00EC2A13"/>
    <w:rsid w:val="00EC2DFE"/>
    <w:rsid w:val="00EC3265"/>
    <w:rsid w:val="00EC36EE"/>
    <w:rsid w:val="00EC4CA5"/>
    <w:rsid w:val="00EC4FA7"/>
    <w:rsid w:val="00EC5454"/>
    <w:rsid w:val="00EC54EF"/>
    <w:rsid w:val="00EC5CE6"/>
    <w:rsid w:val="00EC630C"/>
    <w:rsid w:val="00EC6442"/>
    <w:rsid w:val="00EC659A"/>
    <w:rsid w:val="00EC6DCE"/>
    <w:rsid w:val="00EC6F5C"/>
    <w:rsid w:val="00EC70D0"/>
    <w:rsid w:val="00EC79DC"/>
    <w:rsid w:val="00EC7C8D"/>
    <w:rsid w:val="00ED049B"/>
    <w:rsid w:val="00ED081B"/>
    <w:rsid w:val="00ED09D7"/>
    <w:rsid w:val="00ED0ECD"/>
    <w:rsid w:val="00ED1A6C"/>
    <w:rsid w:val="00ED25C9"/>
    <w:rsid w:val="00ED2A13"/>
    <w:rsid w:val="00ED3827"/>
    <w:rsid w:val="00ED3CFA"/>
    <w:rsid w:val="00ED4941"/>
    <w:rsid w:val="00ED4B97"/>
    <w:rsid w:val="00ED5242"/>
    <w:rsid w:val="00ED551A"/>
    <w:rsid w:val="00ED55CE"/>
    <w:rsid w:val="00ED639B"/>
    <w:rsid w:val="00ED63C3"/>
    <w:rsid w:val="00ED64AF"/>
    <w:rsid w:val="00ED6AB6"/>
    <w:rsid w:val="00ED6B47"/>
    <w:rsid w:val="00ED7F6D"/>
    <w:rsid w:val="00EE023C"/>
    <w:rsid w:val="00EE03C2"/>
    <w:rsid w:val="00EE03CA"/>
    <w:rsid w:val="00EE09AE"/>
    <w:rsid w:val="00EE110D"/>
    <w:rsid w:val="00EE14B2"/>
    <w:rsid w:val="00EE1884"/>
    <w:rsid w:val="00EE188F"/>
    <w:rsid w:val="00EE25A2"/>
    <w:rsid w:val="00EE27B9"/>
    <w:rsid w:val="00EE3855"/>
    <w:rsid w:val="00EE3DC9"/>
    <w:rsid w:val="00EE477E"/>
    <w:rsid w:val="00EE4BA2"/>
    <w:rsid w:val="00EE5124"/>
    <w:rsid w:val="00EE5432"/>
    <w:rsid w:val="00EE5D08"/>
    <w:rsid w:val="00EE61AF"/>
    <w:rsid w:val="00EE6328"/>
    <w:rsid w:val="00EE668E"/>
    <w:rsid w:val="00EE6CE5"/>
    <w:rsid w:val="00EE7948"/>
    <w:rsid w:val="00EF0598"/>
    <w:rsid w:val="00EF09FC"/>
    <w:rsid w:val="00EF1274"/>
    <w:rsid w:val="00EF1B87"/>
    <w:rsid w:val="00EF2058"/>
    <w:rsid w:val="00EF22A9"/>
    <w:rsid w:val="00EF22DF"/>
    <w:rsid w:val="00EF294A"/>
    <w:rsid w:val="00EF3024"/>
    <w:rsid w:val="00EF3439"/>
    <w:rsid w:val="00EF3A7F"/>
    <w:rsid w:val="00EF44BA"/>
    <w:rsid w:val="00EF513E"/>
    <w:rsid w:val="00EF52CE"/>
    <w:rsid w:val="00EF5893"/>
    <w:rsid w:val="00EF621B"/>
    <w:rsid w:val="00EF6C39"/>
    <w:rsid w:val="00EF724E"/>
    <w:rsid w:val="00EF787F"/>
    <w:rsid w:val="00F003A8"/>
    <w:rsid w:val="00F0080C"/>
    <w:rsid w:val="00F00D42"/>
    <w:rsid w:val="00F0149F"/>
    <w:rsid w:val="00F01643"/>
    <w:rsid w:val="00F01D36"/>
    <w:rsid w:val="00F02225"/>
    <w:rsid w:val="00F0229E"/>
    <w:rsid w:val="00F024DF"/>
    <w:rsid w:val="00F02E8A"/>
    <w:rsid w:val="00F03889"/>
    <w:rsid w:val="00F03B27"/>
    <w:rsid w:val="00F03DE0"/>
    <w:rsid w:val="00F03E35"/>
    <w:rsid w:val="00F03F53"/>
    <w:rsid w:val="00F04094"/>
    <w:rsid w:val="00F04694"/>
    <w:rsid w:val="00F07371"/>
    <w:rsid w:val="00F07E17"/>
    <w:rsid w:val="00F1034E"/>
    <w:rsid w:val="00F11028"/>
    <w:rsid w:val="00F1103F"/>
    <w:rsid w:val="00F11366"/>
    <w:rsid w:val="00F118E8"/>
    <w:rsid w:val="00F1247E"/>
    <w:rsid w:val="00F126A9"/>
    <w:rsid w:val="00F12EEF"/>
    <w:rsid w:val="00F13C94"/>
    <w:rsid w:val="00F141CE"/>
    <w:rsid w:val="00F1482D"/>
    <w:rsid w:val="00F14BFC"/>
    <w:rsid w:val="00F14D43"/>
    <w:rsid w:val="00F156AE"/>
    <w:rsid w:val="00F15A6F"/>
    <w:rsid w:val="00F15D56"/>
    <w:rsid w:val="00F16212"/>
    <w:rsid w:val="00F163A0"/>
    <w:rsid w:val="00F16B78"/>
    <w:rsid w:val="00F16E74"/>
    <w:rsid w:val="00F17626"/>
    <w:rsid w:val="00F178D2"/>
    <w:rsid w:val="00F20243"/>
    <w:rsid w:val="00F204AB"/>
    <w:rsid w:val="00F2172C"/>
    <w:rsid w:val="00F2189F"/>
    <w:rsid w:val="00F21B48"/>
    <w:rsid w:val="00F21B87"/>
    <w:rsid w:val="00F21CF6"/>
    <w:rsid w:val="00F2236C"/>
    <w:rsid w:val="00F23457"/>
    <w:rsid w:val="00F241B6"/>
    <w:rsid w:val="00F2464A"/>
    <w:rsid w:val="00F247C1"/>
    <w:rsid w:val="00F24CD2"/>
    <w:rsid w:val="00F25E1C"/>
    <w:rsid w:val="00F26903"/>
    <w:rsid w:val="00F270F7"/>
    <w:rsid w:val="00F27551"/>
    <w:rsid w:val="00F304DA"/>
    <w:rsid w:val="00F30E8E"/>
    <w:rsid w:val="00F30F70"/>
    <w:rsid w:val="00F322EE"/>
    <w:rsid w:val="00F32F29"/>
    <w:rsid w:val="00F33200"/>
    <w:rsid w:val="00F334A8"/>
    <w:rsid w:val="00F35003"/>
    <w:rsid w:val="00F355DC"/>
    <w:rsid w:val="00F3561A"/>
    <w:rsid w:val="00F36BFF"/>
    <w:rsid w:val="00F36D93"/>
    <w:rsid w:val="00F36FE4"/>
    <w:rsid w:val="00F374C8"/>
    <w:rsid w:val="00F37D7C"/>
    <w:rsid w:val="00F37FCA"/>
    <w:rsid w:val="00F403F1"/>
    <w:rsid w:val="00F408DA"/>
    <w:rsid w:val="00F40A65"/>
    <w:rsid w:val="00F40C93"/>
    <w:rsid w:val="00F41A8A"/>
    <w:rsid w:val="00F41C37"/>
    <w:rsid w:val="00F42248"/>
    <w:rsid w:val="00F4294A"/>
    <w:rsid w:val="00F437C5"/>
    <w:rsid w:val="00F43864"/>
    <w:rsid w:val="00F43947"/>
    <w:rsid w:val="00F443CC"/>
    <w:rsid w:val="00F4452E"/>
    <w:rsid w:val="00F45C38"/>
    <w:rsid w:val="00F45FEA"/>
    <w:rsid w:val="00F46889"/>
    <w:rsid w:val="00F468D8"/>
    <w:rsid w:val="00F46E2A"/>
    <w:rsid w:val="00F4749C"/>
    <w:rsid w:val="00F479EF"/>
    <w:rsid w:val="00F47D4B"/>
    <w:rsid w:val="00F508B8"/>
    <w:rsid w:val="00F50D54"/>
    <w:rsid w:val="00F519AD"/>
    <w:rsid w:val="00F51F2B"/>
    <w:rsid w:val="00F520FB"/>
    <w:rsid w:val="00F5241C"/>
    <w:rsid w:val="00F52805"/>
    <w:rsid w:val="00F53E49"/>
    <w:rsid w:val="00F5428C"/>
    <w:rsid w:val="00F542D6"/>
    <w:rsid w:val="00F54D6B"/>
    <w:rsid w:val="00F54DFD"/>
    <w:rsid w:val="00F55741"/>
    <w:rsid w:val="00F55A3F"/>
    <w:rsid w:val="00F55B33"/>
    <w:rsid w:val="00F55C51"/>
    <w:rsid w:val="00F55E58"/>
    <w:rsid w:val="00F56838"/>
    <w:rsid w:val="00F571B7"/>
    <w:rsid w:val="00F57715"/>
    <w:rsid w:val="00F57A42"/>
    <w:rsid w:val="00F57A90"/>
    <w:rsid w:val="00F57BE6"/>
    <w:rsid w:val="00F57E0D"/>
    <w:rsid w:val="00F57EFC"/>
    <w:rsid w:val="00F60886"/>
    <w:rsid w:val="00F60C79"/>
    <w:rsid w:val="00F60E29"/>
    <w:rsid w:val="00F6169B"/>
    <w:rsid w:val="00F62723"/>
    <w:rsid w:val="00F62818"/>
    <w:rsid w:val="00F62C29"/>
    <w:rsid w:val="00F62D08"/>
    <w:rsid w:val="00F62F8A"/>
    <w:rsid w:val="00F632A1"/>
    <w:rsid w:val="00F6417C"/>
    <w:rsid w:val="00F641D8"/>
    <w:rsid w:val="00F6426B"/>
    <w:rsid w:val="00F6452A"/>
    <w:rsid w:val="00F64821"/>
    <w:rsid w:val="00F66415"/>
    <w:rsid w:val="00F6670E"/>
    <w:rsid w:val="00F6788D"/>
    <w:rsid w:val="00F67F2B"/>
    <w:rsid w:val="00F701C7"/>
    <w:rsid w:val="00F709A9"/>
    <w:rsid w:val="00F71366"/>
    <w:rsid w:val="00F71B1A"/>
    <w:rsid w:val="00F71B5E"/>
    <w:rsid w:val="00F71CC2"/>
    <w:rsid w:val="00F72019"/>
    <w:rsid w:val="00F72A2F"/>
    <w:rsid w:val="00F73611"/>
    <w:rsid w:val="00F73767"/>
    <w:rsid w:val="00F73DBC"/>
    <w:rsid w:val="00F73DF0"/>
    <w:rsid w:val="00F74040"/>
    <w:rsid w:val="00F74051"/>
    <w:rsid w:val="00F7439A"/>
    <w:rsid w:val="00F74552"/>
    <w:rsid w:val="00F74E35"/>
    <w:rsid w:val="00F7535F"/>
    <w:rsid w:val="00F7587F"/>
    <w:rsid w:val="00F76890"/>
    <w:rsid w:val="00F770E6"/>
    <w:rsid w:val="00F7797F"/>
    <w:rsid w:val="00F804DB"/>
    <w:rsid w:val="00F8066E"/>
    <w:rsid w:val="00F80912"/>
    <w:rsid w:val="00F80B8F"/>
    <w:rsid w:val="00F80C16"/>
    <w:rsid w:val="00F80C82"/>
    <w:rsid w:val="00F80CEA"/>
    <w:rsid w:val="00F80CEE"/>
    <w:rsid w:val="00F810E3"/>
    <w:rsid w:val="00F813CD"/>
    <w:rsid w:val="00F82375"/>
    <w:rsid w:val="00F83462"/>
    <w:rsid w:val="00F83B8A"/>
    <w:rsid w:val="00F83C48"/>
    <w:rsid w:val="00F840B3"/>
    <w:rsid w:val="00F848C7"/>
    <w:rsid w:val="00F84B8F"/>
    <w:rsid w:val="00F85D2B"/>
    <w:rsid w:val="00F86C69"/>
    <w:rsid w:val="00F87AE0"/>
    <w:rsid w:val="00F87C0D"/>
    <w:rsid w:val="00F90103"/>
    <w:rsid w:val="00F917F9"/>
    <w:rsid w:val="00F91E56"/>
    <w:rsid w:val="00F91EBF"/>
    <w:rsid w:val="00F9226C"/>
    <w:rsid w:val="00F940F0"/>
    <w:rsid w:val="00F9420F"/>
    <w:rsid w:val="00F94A0C"/>
    <w:rsid w:val="00F94D90"/>
    <w:rsid w:val="00F95097"/>
    <w:rsid w:val="00F95B4B"/>
    <w:rsid w:val="00F95E56"/>
    <w:rsid w:val="00F95ED9"/>
    <w:rsid w:val="00F964E3"/>
    <w:rsid w:val="00F96657"/>
    <w:rsid w:val="00F966F3"/>
    <w:rsid w:val="00F96AF1"/>
    <w:rsid w:val="00F970EB"/>
    <w:rsid w:val="00F97A9A"/>
    <w:rsid w:val="00F97E43"/>
    <w:rsid w:val="00FA0151"/>
    <w:rsid w:val="00FA0601"/>
    <w:rsid w:val="00FA1272"/>
    <w:rsid w:val="00FA268D"/>
    <w:rsid w:val="00FA2968"/>
    <w:rsid w:val="00FA31FA"/>
    <w:rsid w:val="00FA364C"/>
    <w:rsid w:val="00FA43C9"/>
    <w:rsid w:val="00FA44D5"/>
    <w:rsid w:val="00FA4902"/>
    <w:rsid w:val="00FA5AFA"/>
    <w:rsid w:val="00FA6E78"/>
    <w:rsid w:val="00FA79B6"/>
    <w:rsid w:val="00FB001E"/>
    <w:rsid w:val="00FB025F"/>
    <w:rsid w:val="00FB14A7"/>
    <w:rsid w:val="00FB1847"/>
    <w:rsid w:val="00FB2B3A"/>
    <w:rsid w:val="00FB30DD"/>
    <w:rsid w:val="00FB316D"/>
    <w:rsid w:val="00FB32D6"/>
    <w:rsid w:val="00FB3655"/>
    <w:rsid w:val="00FB41CA"/>
    <w:rsid w:val="00FB5165"/>
    <w:rsid w:val="00FB64C4"/>
    <w:rsid w:val="00FB652B"/>
    <w:rsid w:val="00FB674C"/>
    <w:rsid w:val="00FB6937"/>
    <w:rsid w:val="00FB7F2A"/>
    <w:rsid w:val="00FC09A5"/>
    <w:rsid w:val="00FC0AC0"/>
    <w:rsid w:val="00FC1299"/>
    <w:rsid w:val="00FC1F4C"/>
    <w:rsid w:val="00FC29EB"/>
    <w:rsid w:val="00FC2A63"/>
    <w:rsid w:val="00FC2BC8"/>
    <w:rsid w:val="00FC3912"/>
    <w:rsid w:val="00FC3B92"/>
    <w:rsid w:val="00FC46DC"/>
    <w:rsid w:val="00FC4719"/>
    <w:rsid w:val="00FC4DA6"/>
    <w:rsid w:val="00FC5587"/>
    <w:rsid w:val="00FC57F8"/>
    <w:rsid w:val="00FC59F6"/>
    <w:rsid w:val="00FC65DF"/>
    <w:rsid w:val="00FC67E8"/>
    <w:rsid w:val="00FC71E0"/>
    <w:rsid w:val="00FC773E"/>
    <w:rsid w:val="00FD0347"/>
    <w:rsid w:val="00FD05C6"/>
    <w:rsid w:val="00FD0D70"/>
    <w:rsid w:val="00FD1E6E"/>
    <w:rsid w:val="00FD21DE"/>
    <w:rsid w:val="00FD320D"/>
    <w:rsid w:val="00FD3237"/>
    <w:rsid w:val="00FD3625"/>
    <w:rsid w:val="00FD43A8"/>
    <w:rsid w:val="00FD4B7C"/>
    <w:rsid w:val="00FD637F"/>
    <w:rsid w:val="00FD70A0"/>
    <w:rsid w:val="00FD716E"/>
    <w:rsid w:val="00FD79F2"/>
    <w:rsid w:val="00FD7A19"/>
    <w:rsid w:val="00FE0054"/>
    <w:rsid w:val="00FE0319"/>
    <w:rsid w:val="00FE16C7"/>
    <w:rsid w:val="00FE17F2"/>
    <w:rsid w:val="00FE22E6"/>
    <w:rsid w:val="00FE261B"/>
    <w:rsid w:val="00FE2881"/>
    <w:rsid w:val="00FE2C28"/>
    <w:rsid w:val="00FE3226"/>
    <w:rsid w:val="00FE3373"/>
    <w:rsid w:val="00FE3AF8"/>
    <w:rsid w:val="00FE464F"/>
    <w:rsid w:val="00FE53E5"/>
    <w:rsid w:val="00FE5650"/>
    <w:rsid w:val="00FE60DA"/>
    <w:rsid w:val="00FF05D4"/>
    <w:rsid w:val="00FF07A1"/>
    <w:rsid w:val="00FF088C"/>
    <w:rsid w:val="00FF2311"/>
    <w:rsid w:val="00FF2779"/>
    <w:rsid w:val="00FF4EC5"/>
    <w:rsid w:val="00FF5128"/>
    <w:rsid w:val="00FF54D6"/>
    <w:rsid w:val="00FF5C64"/>
    <w:rsid w:val="00FF5D52"/>
    <w:rsid w:val="00FF6657"/>
    <w:rsid w:val="00FF68CE"/>
    <w:rsid w:val="00FF79C3"/>
    <w:rsid w:val="00FF7AD8"/>
    <w:rsid w:val="00FF7AE5"/>
    <w:rsid w:val="0225E2DC"/>
    <w:rsid w:val="022A6FC4"/>
    <w:rsid w:val="031F1BCB"/>
    <w:rsid w:val="03656067"/>
    <w:rsid w:val="041E6E05"/>
    <w:rsid w:val="042DE064"/>
    <w:rsid w:val="045F2F7F"/>
    <w:rsid w:val="04A31E01"/>
    <w:rsid w:val="04AE9CB7"/>
    <w:rsid w:val="04C2F6E2"/>
    <w:rsid w:val="04D71C85"/>
    <w:rsid w:val="04E89A8C"/>
    <w:rsid w:val="054404A2"/>
    <w:rsid w:val="0556A8D6"/>
    <w:rsid w:val="0589DFF1"/>
    <w:rsid w:val="065123BC"/>
    <w:rsid w:val="07493574"/>
    <w:rsid w:val="077DD3FC"/>
    <w:rsid w:val="07EBB346"/>
    <w:rsid w:val="07F269A5"/>
    <w:rsid w:val="084B6A40"/>
    <w:rsid w:val="09CD081C"/>
    <w:rsid w:val="09D9E232"/>
    <w:rsid w:val="09F427C6"/>
    <w:rsid w:val="0A426781"/>
    <w:rsid w:val="0A73B9D4"/>
    <w:rsid w:val="0A8E6601"/>
    <w:rsid w:val="0B1C0195"/>
    <w:rsid w:val="0B46D6BB"/>
    <w:rsid w:val="0BB99650"/>
    <w:rsid w:val="0BBA7EF4"/>
    <w:rsid w:val="0BC8F458"/>
    <w:rsid w:val="0BF69E69"/>
    <w:rsid w:val="0C0B82F7"/>
    <w:rsid w:val="0C46CC5D"/>
    <w:rsid w:val="0C7B297A"/>
    <w:rsid w:val="0D0497D8"/>
    <w:rsid w:val="0D533516"/>
    <w:rsid w:val="0D9592AB"/>
    <w:rsid w:val="0E4A2C96"/>
    <w:rsid w:val="0E505971"/>
    <w:rsid w:val="0E8D9293"/>
    <w:rsid w:val="0E9F35EE"/>
    <w:rsid w:val="0ED4A71C"/>
    <w:rsid w:val="0EF0EA04"/>
    <w:rsid w:val="0F2BE727"/>
    <w:rsid w:val="0F36B96D"/>
    <w:rsid w:val="0FCF97D7"/>
    <w:rsid w:val="1019AD9A"/>
    <w:rsid w:val="105BD18E"/>
    <w:rsid w:val="10733307"/>
    <w:rsid w:val="109BE54E"/>
    <w:rsid w:val="10DCB5F9"/>
    <w:rsid w:val="10F07575"/>
    <w:rsid w:val="11251FBA"/>
    <w:rsid w:val="1226069D"/>
    <w:rsid w:val="12661632"/>
    <w:rsid w:val="12A6DAE9"/>
    <w:rsid w:val="12CD8C81"/>
    <w:rsid w:val="12FF7666"/>
    <w:rsid w:val="136C4B60"/>
    <w:rsid w:val="13F13A6C"/>
    <w:rsid w:val="143EB501"/>
    <w:rsid w:val="14450850"/>
    <w:rsid w:val="1449E346"/>
    <w:rsid w:val="14B938C3"/>
    <w:rsid w:val="14E2984A"/>
    <w:rsid w:val="150C49EF"/>
    <w:rsid w:val="15D519F1"/>
    <w:rsid w:val="15E93AE3"/>
    <w:rsid w:val="15FEFF81"/>
    <w:rsid w:val="1682F672"/>
    <w:rsid w:val="173D54D1"/>
    <w:rsid w:val="17673CC9"/>
    <w:rsid w:val="180143FE"/>
    <w:rsid w:val="18DE02DF"/>
    <w:rsid w:val="18F3020E"/>
    <w:rsid w:val="19F0C055"/>
    <w:rsid w:val="1A1F3D2C"/>
    <w:rsid w:val="1A5E7F7D"/>
    <w:rsid w:val="1A945C75"/>
    <w:rsid w:val="1B5A0303"/>
    <w:rsid w:val="1B61A657"/>
    <w:rsid w:val="1BC62F7F"/>
    <w:rsid w:val="1C05E44E"/>
    <w:rsid w:val="1C07914E"/>
    <w:rsid w:val="1C27AF26"/>
    <w:rsid w:val="1C4DA36E"/>
    <w:rsid w:val="1C6A9892"/>
    <w:rsid w:val="1CE27DA0"/>
    <w:rsid w:val="1D128D14"/>
    <w:rsid w:val="1D94F27F"/>
    <w:rsid w:val="1E50E44E"/>
    <w:rsid w:val="1E56761C"/>
    <w:rsid w:val="1E6A42C7"/>
    <w:rsid w:val="1E74C0D3"/>
    <w:rsid w:val="1E97EC2E"/>
    <w:rsid w:val="1E9F2658"/>
    <w:rsid w:val="1F29A712"/>
    <w:rsid w:val="1F2A07D3"/>
    <w:rsid w:val="1FCA08F9"/>
    <w:rsid w:val="20096D76"/>
    <w:rsid w:val="2028F2D5"/>
    <w:rsid w:val="203E35AB"/>
    <w:rsid w:val="213431CE"/>
    <w:rsid w:val="21864FE6"/>
    <w:rsid w:val="21EE48E8"/>
    <w:rsid w:val="2230DA60"/>
    <w:rsid w:val="22848143"/>
    <w:rsid w:val="22D271AD"/>
    <w:rsid w:val="23802248"/>
    <w:rsid w:val="239D3AA6"/>
    <w:rsid w:val="247A1903"/>
    <w:rsid w:val="24847A43"/>
    <w:rsid w:val="24AE8A4B"/>
    <w:rsid w:val="24C2012F"/>
    <w:rsid w:val="24C6C4C8"/>
    <w:rsid w:val="25510F0D"/>
    <w:rsid w:val="259F89F9"/>
    <w:rsid w:val="25B61DE3"/>
    <w:rsid w:val="25DE94A7"/>
    <w:rsid w:val="25FC7A7A"/>
    <w:rsid w:val="260C3198"/>
    <w:rsid w:val="262EAE14"/>
    <w:rsid w:val="264EF180"/>
    <w:rsid w:val="2683C3E1"/>
    <w:rsid w:val="26C956F4"/>
    <w:rsid w:val="26EFFBD7"/>
    <w:rsid w:val="2724B332"/>
    <w:rsid w:val="272C9659"/>
    <w:rsid w:val="27892233"/>
    <w:rsid w:val="27FDDD8B"/>
    <w:rsid w:val="284F9292"/>
    <w:rsid w:val="28A334A8"/>
    <w:rsid w:val="29032C48"/>
    <w:rsid w:val="29288E3C"/>
    <w:rsid w:val="295390A3"/>
    <w:rsid w:val="2985FE6F"/>
    <w:rsid w:val="29AE2557"/>
    <w:rsid w:val="29CC4DDB"/>
    <w:rsid w:val="2A73809C"/>
    <w:rsid w:val="2ACF4EAF"/>
    <w:rsid w:val="2B03FFB6"/>
    <w:rsid w:val="2B1E1C2B"/>
    <w:rsid w:val="2B1E6AD3"/>
    <w:rsid w:val="2B892A79"/>
    <w:rsid w:val="2B9B69BE"/>
    <w:rsid w:val="2C9D26F1"/>
    <w:rsid w:val="2CD5027E"/>
    <w:rsid w:val="2CE40B53"/>
    <w:rsid w:val="2D56E8E9"/>
    <w:rsid w:val="2DD02BC1"/>
    <w:rsid w:val="2E10123B"/>
    <w:rsid w:val="2E99A90A"/>
    <w:rsid w:val="2F2AFCDD"/>
    <w:rsid w:val="2F3437E9"/>
    <w:rsid w:val="2F682DE0"/>
    <w:rsid w:val="2F96C89E"/>
    <w:rsid w:val="305A900E"/>
    <w:rsid w:val="3066458E"/>
    <w:rsid w:val="30971DB9"/>
    <w:rsid w:val="30D63845"/>
    <w:rsid w:val="3137C41A"/>
    <w:rsid w:val="31465DC2"/>
    <w:rsid w:val="314F500A"/>
    <w:rsid w:val="31B18B68"/>
    <w:rsid w:val="31F755C5"/>
    <w:rsid w:val="32384CD5"/>
    <w:rsid w:val="3275A8AD"/>
    <w:rsid w:val="32F4E13B"/>
    <w:rsid w:val="3314ADD1"/>
    <w:rsid w:val="3324EEB0"/>
    <w:rsid w:val="3453772E"/>
    <w:rsid w:val="3478F719"/>
    <w:rsid w:val="34DA2921"/>
    <w:rsid w:val="34F50901"/>
    <w:rsid w:val="35500DC1"/>
    <w:rsid w:val="366D4315"/>
    <w:rsid w:val="36C7B501"/>
    <w:rsid w:val="36F404FA"/>
    <w:rsid w:val="36F60F00"/>
    <w:rsid w:val="371C8DDF"/>
    <w:rsid w:val="3738CCCA"/>
    <w:rsid w:val="375B8E2A"/>
    <w:rsid w:val="37611A37"/>
    <w:rsid w:val="3774F1F8"/>
    <w:rsid w:val="378BF216"/>
    <w:rsid w:val="37CBB64A"/>
    <w:rsid w:val="3801053E"/>
    <w:rsid w:val="38578120"/>
    <w:rsid w:val="38C75FAD"/>
    <w:rsid w:val="396CF56F"/>
    <w:rsid w:val="3971CBB4"/>
    <w:rsid w:val="39DA8886"/>
    <w:rsid w:val="3A049AC5"/>
    <w:rsid w:val="3A9B4899"/>
    <w:rsid w:val="3C6A1CCB"/>
    <w:rsid w:val="3C8C1AFD"/>
    <w:rsid w:val="3CCDD3EF"/>
    <w:rsid w:val="3D4DD7DE"/>
    <w:rsid w:val="3E88CFBB"/>
    <w:rsid w:val="3E918743"/>
    <w:rsid w:val="3EA532A1"/>
    <w:rsid w:val="3ECE019D"/>
    <w:rsid w:val="3F61DA61"/>
    <w:rsid w:val="3FFFD73A"/>
    <w:rsid w:val="403DADF8"/>
    <w:rsid w:val="4078D17D"/>
    <w:rsid w:val="408874BF"/>
    <w:rsid w:val="41C1D244"/>
    <w:rsid w:val="41F64033"/>
    <w:rsid w:val="422A0512"/>
    <w:rsid w:val="4253E75C"/>
    <w:rsid w:val="42BBE936"/>
    <w:rsid w:val="42F7A253"/>
    <w:rsid w:val="436AABFA"/>
    <w:rsid w:val="43CBBE46"/>
    <w:rsid w:val="44078260"/>
    <w:rsid w:val="442AC7FF"/>
    <w:rsid w:val="4444D709"/>
    <w:rsid w:val="446F1266"/>
    <w:rsid w:val="44707407"/>
    <w:rsid w:val="44BA230E"/>
    <w:rsid w:val="44C476EE"/>
    <w:rsid w:val="4554721D"/>
    <w:rsid w:val="457FD12D"/>
    <w:rsid w:val="458CE0ED"/>
    <w:rsid w:val="4593CCA3"/>
    <w:rsid w:val="45B3F93B"/>
    <w:rsid w:val="46CD3474"/>
    <w:rsid w:val="46EAE9BB"/>
    <w:rsid w:val="473993F3"/>
    <w:rsid w:val="47872C18"/>
    <w:rsid w:val="47A7FE3E"/>
    <w:rsid w:val="47D651AF"/>
    <w:rsid w:val="480F771E"/>
    <w:rsid w:val="4820F9DA"/>
    <w:rsid w:val="483BEBE4"/>
    <w:rsid w:val="484B2C4B"/>
    <w:rsid w:val="4873D97E"/>
    <w:rsid w:val="491B7515"/>
    <w:rsid w:val="495D9253"/>
    <w:rsid w:val="49AEB23E"/>
    <w:rsid w:val="49B2D495"/>
    <w:rsid w:val="49BD1B5C"/>
    <w:rsid w:val="49DE4241"/>
    <w:rsid w:val="4A0D5EE1"/>
    <w:rsid w:val="4A287380"/>
    <w:rsid w:val="4A32B61F"/>
    <w:rsid w:val="4A563A78"/>
    <w:rsid w:val="4B166918"/>
    <w:rsid w:val="4B769B53"/>
    <w:rsid w:val="4BDFDE5F"/>
    <w:rsid w:val="4BFBFCF9"/>
    <w:rsid w:val="4CCF1D05"/>
    <w:rsid w:val="4D4F0860"/>
    <w:rsid w:val="4D517FDB"/>
    <w:rsid w:val="4D53D26B"/>
    <w:rsid w:val="4D58A469"/>
    <w:rsid w:val="4D67B6ED"/>
    <w:rsid w:val="4D98C767"/>
    <w:rsid w:val="4DECAE2E"/>
    <w:rsid w:val="4DEE01B8"/>
    <w:rsid w:val="4DF0569C"/>
    <w:rsid w:val="4DF9CABD"/>
    <w:rsid w:val="4DFFC65F"/>
    <w:rsid w:val="4EA81816"/>
    <w:rsid w:val="4F27A2A2"/>
    <w:rsid w:val="4F7AB72B"/>
    <w:rsid w:val="5077A855"/>
    <w:rsid w:val="50EDEA73"/>
    <w:rsid w:val="5100B1C1"/>
    <w:rsid w:val="518A6DD2"/>
    <w:rsid w:val="51A0C1C9"/>
    <w:rsid w:val="51A8F739"/>
    <w:rsid w:val="51B110C0"/>
    <w:rsid w:val="520B5ADD"/>
    <w:rsid w:val="525BB413"/>
    <w:rsid w:val="527FA372"/>
    <w:rsid w:val="528705C3"/>
    <w:rsid w:val="5292FEDD"/>
    <w:rsid w:val="52CE8CF9"/>
    <w:rsid w:val="5341EC3D"/>
    <w:rsid w:val="538EDF7D"/>
    <w:rsid w:val="53BAB5BA"/>
    <w:rsid w:val="544C5D25"/>
    <w:rsid w:val="5452965D"/>
    <w:rsid w:val="546F9661"/>
    <w:rsid w:val="5476008A"/>
    <w:rsid w:val="5482A75F"/>
    <w:rsid w:val="5491C742"/>
    <w:rsid w:val="54EC2F5B"/>
    <w:rsid w:val="553F9DDB"/>
    <w:rsid w:val="55F717D2"/>
    <w:rsid w:val="561FF711"/>
    <w:rsid w:val="562670B1"/>
    <w:rsid w:val="5632B72F"/>
    <w:rsid w:val="564AD182"/>
    <w:rsid w:val="57DA8C62"/>
    <w:rsid w:val="58221E12"/>
    <w:rsid w:val="58714F19"/>
    <w:rsid w:val="58B61B98"/>
    <w:rsid w:val="58FBB62E"/>
    <w:rsid w:val="594E7504"/>
    <w:rsid w:val="59631E14"/>
    <w:rsid w:val="597FE02B"/>
    <w:rsid w:val="59A2C85B"/>
    <w:rsid w:val="59CEA56A"/>
    <w:rsid w:val="5A19B873"/>
    <w:rsid w:val="5AA0DB0F"/>
    <w:rsid w:val="5AB1E6C3"/>
    <w:rsid w:val="5ABF5E9F"/>
    <w:rsid w:val="5AC08C85"/>
    <w:rsid w:val="5B08911B"/>
    <w:rsid w:val="5B22C2BC"/>
    <w:rsid w:val="5B691FDC"/>
    <w:rsid w:val="5BEAC474"/>
    <w:rsid w:val="5C1E2F69"/>
    <w:rsid w:val="5C9509AD"/>
    <w:rsid w:val="5CAC5174"/>
    <w:rsid w:val="5CB8D185"/>
    <w:rsid w:val="5CF82631"/>
    <w:rsid w:val="5D6845F7"/>
    <w:rsid w:val="5DB30C67"/>
    <w:rsid w:val="5DF078DC"/>
    <w:rsid w:val="5E2A4991"/>
    <w:rsid w:val="5E31C00F"/>
    <w:rsid w:val="5F5B54E9"/>
    <w:rsid w:val="5F5E4978"/>
    <w:rsid w:val="5F96573A"/>
    <w:rsid w:val="5FABF911"/>
    <w:rsid w:val="5FC5812A"/>
    <w:rsid w:val="60911DDE"/>
    <w:rsid w:val="60EFEB76"/>
    <w:rsid w:val="60F61E2A"/>
    <w:rsid w:val="61124AC8"/>
    <w:rsid w:val="617545F1"/>
    <w:rsid w:val="6242B1BE"/>
    <w:rsid w:val="62F0436C"/>
    <w:rsid w:val="63075C4A"/>
    <w:rsid w:val="63255D27"/>
    <w:rsid w:val="634FA65C"/>
    <w:rsid w:val="635C2601"/>
    <w:rsid w:val="64483404"/>
    <w:rsid w:val="648A8E51"/>
    <w:rsid w:val="649D9630"/>
    <w:rsid w:val="64EE8D38"/>
    <w:rsid w:val="65D20971"/>
    <w:rsid w:val="65E15E7F"/>
    <w:rsid w:val="663E1550"/>
    <w:rsid w:val="6690C9D4"/>
    <w:rsid w:val="66ABF415"/>
    <w:rsid w:val="66D3323F"/>
    <w:rsid w:val="66D63476"/>
    <w:rsid w:val="6705AF7C"/>
    <w:rsid w:val="671CD032"/>
    <w:rsid w:val="672776FC"/>
    <w:rsid w:val="67A10CC9"/>
    <w:rsid w:val="67B63805"/>
    <w:rsid w:val="67C83C25"/>
    <w:rsid w:val="67EEA94F"/>
    <w:rsid w:val="6840040A"/>
    <w:rsid w:val="68418C9C"/>
    <w:rsid w:val="68491054"/>
    <w:rsid w:val="68D5C00E"/>
    <w:rsid w:val="695E363E"/>
    <w:rsid w:val="69A1BB63"/>
    <w:rsid w:val="69D7DFE3"/>
    <w:rsid w:val="6A22B930"/>
    <w:rsid w:val="6AFD8896"/>
    <w:rsid w:val="6B427417"/>
    <w:rsid w:val="6B590BEB"/>
    <w:rsid w:val="6C2F9FB8"/>
    <w:rsid w:val="6C746A7B"/>
    <w:rsid w:val="6C8618F2"/>
    <w:rsid w:val="6CBADE6A"/>
    <w:rsid w:val="6D0B681B"/>
    <w:rsid w:val="6D20721A"/>
    <w:rsid w:val="6D294BCB"/>
    <w:rsid w:val="6D3BF486"/>
    <w:rsid w:val="6D6857F9"/>
    <w:rsid w:val="6D94DAA0"/>
    <w:rsid w:val="6DAE4264"/>
    <w:rsid w:val="6DE21331"/>
    <w:rsid w:val="6E542A50"/>
    <w:rsid w:val="6E667760"/>
    <w:rsid w:val="6F219B63"/>
    <w:rsid w:val="6F2C021D"/>
    <w:rsid w:val="6F30CE84"/>
    <w:rsid w:val="6FA543D8"/>
    <w:rsid w:val="6FC1F7E1"/>
    <w:rsid w:val="6FC709E4"/>
    <w:rsid w:val="6FEAFF47"/>
    <w:rsid w:val="6FF4799C"/>
    <w:rsid w:val="70337EA0"/>
    <w:rsid w:val="7040F498"/>
    <w:rsid w:val="70A8A74C"/>
    <w:rsid w:val="70C019AA"/>
    <w:rsid w:val="71A1377D"/>
    <w:rsid w:val="72624F65"/>
    <w:rsid w:val="72CA5F2C"/>
    <w:rsid w:val="73196081"/>
    <w:rsid w:val="733029E8"/>
    <w:rsid w:val="73D24C2E"/>
    <w:rsid w:val="754AB4B0"/>
    <w:rsid w:val="75805FB0"/>
    <w:rsid w:val="75B5B067"/>
    <w:rsid w:val="75ED3C2F"/>
    <w:rsid w:val="75F8B66A"/>
    <w:rsid w:val="75FF4D6A"/>
    <w:rsid w:val="760D2EB6"/>
    <w:rsid w:val="7640D398"/>
    <w:rsid w:val="76EBECDB"/>
    <w:rsid w:val="7727D9C7"/>
    <w:rsid w:val="779C7EF0"/>
    <w:rsid w:val="77A7703A"/>
    <w:rsid w:val="77DD8B03"/>
    <w:rsid w:val="7809A3CF"/>
    <w:rsid w:val="78423393"/>
    <w:rsid w:val="78A2F4F4"/>
    <w:rsid w:val="78A88E05"/>
    <w:rsid w:val="78D6BDE1"/>
    <w:rsid w:val="794D2802"/>
    <w:rsid w:val="797B5136"/>
    <w:rsid w:val="79A871F4"/>
    <w:rsid w:val="79DA6B61"/>
    <w:rsid w:val="79F7C976"/>
    <w:rsid w:val="7A344DA4"/>
    <w:rsid w:val="7A57D2FD"/>
    <w:rsid w:val="7A61A647"/>
    <w:rsid w:val="7A9E6E69"/>
    <w:rsid w:val="7B11B8A2"/>
    <w:rsid w:val="7B2CEA3C"/>
    <w:rsid w:val="7BB2BC72"/>
    <w:rsid w:val="7BD79AE4"/>
    <w:rsid w:val="7BE0AA6C"/>
    <w:rsid w:val="7D856485"/>
    <w:rsid w:val="7D9CBF13"/>
    <w:rsid w:val="7E3879AB"/>
    <w:rsid w:val="7E3FCCA9"/>
    <w:rsid w:val="7ECCB2BA"/>
    <w:rsid w:val="7ED6E565"/>
    <w:rsid w:val="7EFD30B0"/>
    <w:rsid w:val="7F18D7A5"/>
    <w:rsid w:val="7F5A35E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1AFCF"/>
  <w15:chartTrackingRefBased/>
  <w15:docId w15:val="{F0DAB51A-C5F7-42B6-8C77-E2846FFA2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684"/>
    <w:pPr>
      <w:jc w:val="both"/>
    </w:pPr>
    <w:rPr>
      <w:sz w:val="20"/>
      <w:lang w:val="en-GB"/>
    </w:rPr>
  </w:style>
  <w:style w:type="paragraph" w:styleId="Ttulo1">
    <w:name w:val="heading 1"/>
    <w:aliases w:val="Titolo paragrafo"/>
    <w:basedOn w:val="Normal"/>
    <w:next w:val="Normal"/>
    <w:link w:val="Ttulo1Car"/>
    <w:uiPriority w:val="9"/>
    <w:qFormat/>
    <w:rsid w:val="00123BC8"/>
    <w:pPr>
      <w:keepNext/>
      <w:keepLines/>
      <w:spacing w:before="240" w:after="300"/>
      <w:jc w:val="left"/>
      <w:outlineLvl w:val="0"/>
    </w:pPr>
    <w:rPr>
      <w:rFonts w:asciiTheme="majorHAnsi" w:eastAsiaTheme="majorEastAsia" w:hAnsiTheme="majorHAnsi" w:cs="Times New Roman (Titoli CS)"/>
      <w:b/>
      <w:caps/>
      <w:color w:val="C21B17" w:themeColor="accent1"/>
      <w:sz w:val="30"/>
      <w:szCs w:val="32"/>
    </w:rPr>
  </w:style>
  <w:style w:type="paragraph" w:styleId="Ttulo2">
    <w:name w:val="heading 2"/>
    <w:basedOn w:val="Normal"/>
    <w:next w:val="Normal"/>
    <w:link w:val="Ttulo2Car"/>
    <w:uiPriority w:val="9"/>
    <w:unhideWhenUsed/>
    <w:qFormat/>
    <w:rsid w:val="000A31FC"/>
    <w:pPr>
      <w:keepNext/>
      <w:keepLines/>
      <w:spacing w:before="40"/>
      <w:outlineLvl w:val="1"/>
    </w:pPr>
    <w:rPr>
      <w:rFonts w:asciiTheme="majorHAnsi" w:eastAsiaTheme="majorEastAsia" w:hAnsiTheme="majorHAnsi" w:cstheme="majorBidi"/>
      <w:color w:val="91131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aliases w:val="Titolo CS"/>
    <w:basedOn w:val="Normal"/>
    <w:next w:val="Normal"/>
    <w:link w:val="TtuloCar"/>
    <w:uiPriority w:val="10"/>
    <w:qFormat/>
    <w:rsid w:val="00123BC8"/>
    <w:pPr>
      <w:spacing w:after="420" w:line="288" w:lineRule="auto"/>
      <w:contextualSpacing/>
      <w:jc w:val="left"/>
    </w:pPr>
    <w:rPr>
      <w:rFonts w:asciiTheme="majorHAnsi" w:eastAsiaTheme="majorEastAsia" w:hAnsiTheme="majorHAnsi" w:cstheme="majorBidi"/>
      <w:color w:val="C21B17" w:themeColor="accent1"/>
      <w:spacing w:val="-10"/>
      <w:kern w:val="28"/>
      <w:sz w:val="42"/>
      <w:szCs w:val="56"/>
    </w:rPr>
  </w:style>
  <w:style w:type="character" w:customStyle="1" w:styleId="TtuloCar">
    <w:name w:val="Título Car"/>
    <w:aliases w:val="Titolo CS Car"/>
    <w:basedOn w:val="Fuentedeprrafopredeter"/>
    <w:link w:val="Ttulo"/>
    <w:uiPriority w:val="10"/>
    <w:rsid w:val="00123BC8"/>
    <w:rPr>
      <w:rFonts w:asciiTheme="majorHAnsi" w:eastAsiaTheme="majorEastAsia" w:hAnsiTheme="majorHAnsi" w:cstheme="majorBidi"/>
      <w:color w:val="C21B17" w:themeColor="accent1"/>
      <w:spacing w:val="-10"/>
      <w:kern w:val="28"/>
      <w:sz w:val="42"/>
      <w:szCs w:val="56"/>
    </w:rPr>
  </w:style>
  <w:style w:type="character" w:styleId="Nmerodepgina">
    <w:name w:val="page number"/>
    <w:basedOn w:val="Fuentedeprrafopredeter"/>
    <w:uiPriority w:val="99"/>
    <w:semiHidden/>
    <w:unhideWhenUsed/>
    <w:rsid w:val="001A4B23"/>
  </w:style>
  <w:style w:type="paragraph" w:customStyle="1" w:styleId="DataPressreleasered">
    <w:name w:val="Data_Pressrelease_red"/>
    <w:qFormat/>
    <w:rsid w:val="001A4B23"/>
    <w:pPr>
      <w:spacing w:line="192" w:lineRule="exact"/>
    </w:pPr>
    <w:rPr>
      <w:rFonts w:ascii="Arial" w:eastAsia="Times New Roman" w:hAnsi="Arial" w:cs="Times New Roman"/>
      <w:color w:val="BD2027"/>
      <w:sz w:val="18"/>
      <w:lang w:val="en-GB" w:eastAsia="en-GB" w:bidi="en-GB"/>
    </w:rPr>
  </w:style>
  <w:style w:type="character" w:customStyle="1" w:styleId="grassetto">
    <w:name w:val="grassetto"/>
    <w:basedOn w:val="Fuentedeprrafopredeter"/>
    <w:uiPriority w:val="1"/>
    <w:qFormat/>
    <w:rsid w:val="001A4B23"/>
    <w:rPr>
      <w:b/>
    </w:rPr>
  </w:style>
  <w:style w:type="paragraph" w:customStyle="1" w:styleId="IndirizzoGenerali">
    <w:name w:val="Indirizzo_Generali"/>
    <w:qFormat/>
    <w:rsid w:val="001A4B23"/>
    <w:pPr>
      <w:spacing w:line="160" w:lineRule="exact"/>
    </w:pPr>
    <w:rPr>
      <w:rFonts w:ascii="Arial" w:eastAsia="Times New Roman" w:hAnsi="Arial" w:cs="Times New Roman"/>
      <w:color w:val="141414" w:themeColor="text1"/>
      <w:sz w:val="12"/>
      <w:szCs w:val="12"/>
      <w:lang w:val="en-GB" w:eastAsia="en-GB" w:bidi="en-GB"/>
    </w:rPr>
  </w:style>
  <w:style w:type="character" w:styleId="Hipervnculo">
    <w:name w:val="Hyperlink"/>
    <w:basedOn w:val="Fuentedeprrafopredeter"/>
    <w:uiPriority w:val="99"/>
    <w:unhideWhenUsed/>
    <w:rsid w:val="00BD49CB"/>
    <w:rPr>
      <w:color w:val="8E1230" w:themeColor="accent3"/>
      <w:u w:val="single"/>
    </w:rPr>
  </w:style>
  <w:style w:type="paragraph" w:customStyle="1" w:styleId="Gaddress">
    <w:name w:val="G_address"/>
    <w:autoRedefine/>
    <w:qFormat/>
    <w:rsid w:val="009136FF"/>
    <w:pPr>
      <w:spacing w:line="160" w:lineRule="exact"/>
    </w:pPr>
    <w:rPr>
      <w:rFonts w:ascii="Arial" w:eastAsiaTheme="majorEastAsia" w:hAnsi="Arial" w:cs="Times New Roman"/>
      <w:b/>
      <w:bCs/>
      <w:color w:val="C21B17" w:themeColor="accent1"/>
      <w:sz w:val="12"/>
      <w:szCs w:val="12"/>
      <w:lang w:val="en-GB" w:eastAsia="it-IT"/>
    </w:rPr>
  </w:style>
  <w:style w:type="character" w:styleId="Hipervnculovisitado">
    <w:name w:val="FollowedHyperlink"/>
    <w:basedOn w:val="Fuentedeprrafopredeter"/>
    <w:uiPriority w:val="99"/>
    <w:semiHidden/>
    <w:unhideWhenUsed/>
    <w:rsid w:val="009136FF"/>
    <w:rPr>
      <w:color w:val="8E1230" w:themeColor="followedHyperlink"/>
      <w:u w:val="single"/>
    </w:rPr>
  </w:style>
  <w:style w:type="paragraph" w:styleId="Textonotapie">
    <w:name w:val="footnote text"/>
    <w:aliases w:val="Footnote Text Char Char,Fußnotentext Char Char Char,Fußnotentext Char Char Char Char Char,Fußnotentext Char1 Char Char Char,Fußnotentext Char1 Char Char Char Char Char,Footnote Text Char1"/>
    <w:basedOn w:val="Normal"/>
    <w:link w:val="TextonotapieCar"/>
    <w:uiPriority w:val="99"/>
    <w:rsid w:val="00525C3D"/>
    <w:pPr>
      <w:widowControl w:val="0"/>
      <w:spacing w:before="220" w:after="220" w:line="220" w:lineRule="exact"/>
      <w:contextualSpacing/>
    </w:pPr>
    <w:rPr>
      <w:rFonts w:ascii="Arial" w:eastAsia="Times New Roman" w:hAnsi="Arial" w:cs="Times New Roman"/>
      <w:color w:val="141414" w:themeColor="text1"/>
      <w:sz w:val="14"/>
      <w:lang w:eastAsia="en-GB" w:bidi="en-GB"/>
    </w:rPr>
  </w:style>
  <w:style w:type="character" w:customStyle="1" w:styleId="TextonotapieCar">
    <w:name w:val="Texto nota pie Car"/>
    <w:aliases w:val="Footnote Text Char Char Car,Fußnotentext Char Char Char Car,Fußnotentext Char Char Char Char Char Car,Fußnotentext Char1 Char Char Char Car,Fußnotentext Char1 Char Char Char Char Char Car,Footnote Text Char1 Car"/>
    <w:basedOn w:val="Fuentedeprrafopredeter"/>
    <w:link w:val="Textonotapie"/>
    <w:uiPriority w:val="99"/>
    <w:rsid w:val="00525C3D"/>
    <w:rPr>
      <w:rFonts w:ascii="Arial" w:eastAsia="Times New Roman" w:hAnsi="Arial" w:cs="Times New Roman"/>
      <w:color w:val="141414" w:themeColor="text1"/>
      <w:sz w:val="14"/>
      <w:lang w:val="en-GB" w:eastAsia="en-GB" w:bidi="en-GB"/>
    </w:rPr>
  </w:style>
  <w:style w:type="character" w:styleId="Refdenotaalpie">
    <w:name w:val="footnote reference"/>
    <w:uiPriority w:val="99"/>
    <w:rsid w:val="00EA1F4D"/>
    <w:rPr>
      <w:rFonts w:ascii="Arial" w:hAnsi="Arial"/>
      <w:sz w:val="14"/>
      <w:bdr w:val="none" w:sz="0" w:space="0" w:color="auto"/>
      <w:shd w:val="clear" w:color="auto" w:fill="auto"/>
      <w:vertAlign w:val="superscript"/>
    </w:rPr>
  </w:style>
  <w:style w:type="character" w:customStyle="1" w:styleId="Ttulo1Car">
    <w:name w:val="Título 1 Car"/>
    <w:aliases w:val="Titolo paragrafo Car"/>
    <w:basedOn w:val="Fuentedeprrafopredeter"/>
    <w:link w:val="Ttulo1"/>
    <w:uiPriority w:val="9"/>
    <w:rsid w:val="00123BC8"/>
    <w:rPr>
      <w:rFonts w:asciiTheme="majorHAnsi" w:eastAsiaTheme="majorEastAsia" w:hAnsiTheme="majorHAnsi" w:cs="Times New Roman (Titoli CS)"/>
      <w:b/>
      <w:caps/>
      <w:color w:val="C21B17" w:themeColor="accent1"/>
      <w:sz w:val="30"/>
      <w:szCs w:val="32"/>
    </w:rPr>
  </w:style>
  <w:style w:type="paragraph" w:customStyle="1" w:styleId="Noteapipagina">
    <w:name w:val="Note a piè pagina"/>
    <w:basedOn w:val="Textonotapie"/>
    <w:qFormat/>
    <w:rsid w:val="003C2749"/>
    <w:pPr>
      <w:spacing w:before="0" w:after="0" w:line="276" w:lineRule="auto"/>
    </w:pPr>
    <w:rPr>
      <w:sz w:val="13"/>
    </w:rPr>
  </w:style>
  <w:style w:type="paragraph" w:customStyle="1" w:styleId="Occhiello">
    <w:name w:val="Occhiello"/>
    <w:basedOn w:val="Normal"/>
    <w:qFormat/>
    <w:rsid w:val="00B14C06"/>
    <w:pPr>
      <w:spacing w:after="160"/>
    </w:pPr>
    <w:rPr>
      <w:rFonts w:ascii="Arial" w:hAnsi="Arial" w:cs="Arial"/>
      <w:noProof/>
      <w:snapToGrid w:val="0"/>
      <w:color w:val="141414" w:themeColor="text1"/>
      <w:sz w:val="18"/>
      <w:szCs w:val="16"/>
      <w:lang w:val="en-US"/>
    </w:rPr>
  </w:style>
  <w:style w:type="paragraph" w:customStyle="1" w:styleId="Contatti">
    <w:name w:val="Contatti"/>
    <w:qFormat/>
    <w:rsid w:val="00B91FAC"/>
    <w:rPr>
      <w:color w:val="141414" w:themeColor="text1"/>
      <w:sz w:val="13"/>
      <w:szCs w:val="13"/>
      <w:lang w:val="en-US"/>
    </w:rPr>
  </w:style>
  <w:style w:type="character" w:customStyle="1" w:styleId="Ttulo2Car">
    <w:name w:val="Título 2 Car"/>
    <w:basedOn w:val="Fuentedeprrafopredeter"/>
    <w:link w:val="Ttulo2"/>
    <w:uiPriority w:val="9"/>
    <w:rsid w:val="000A31FC"/>
    <w:rPr>
      <w:rFonts w:asciiTheme="majorHAnsi" w:eastAsiaTheme="majorEastAsia" w:hAnsiTheme="majorHAnsi" w:cstheme="majorBidi"/>
      <w:color w:val="911311" w:themeColor="accent1" w:themeShade="BF"/>
      <w:sz w:val="26"/>
      <w:szCs w:val="26"/>
    </w:rPr>
  </w:style>
  <w:style w:type="paragraph" w:customStyle="1" w:styleId="Elencopuntatointroparagrafo">
    <w:name w:val="Elenco puntato intro paragrafo"/>
    <w:basedOn w:val="Normal"/>
    <w:qFormat/>
    <w:rsid w:val="00123BC8"/>
    <w:pPr>
      <w:contextualSpacing/>
    </w:pPr>
    <w:rPr>
      <w:color w:val="646464" w:themeColor="background2" w:themeShade="80"/>
    </w:rPr>
  </w:style>
  <w:style w:type="paragraph" w:customStyle="1" w:styleId="Default">
    <w:name w:val="Default"/>
    <w:rsid w:val="005520A7"/>
    <w:pPr>
      <w:autoSpaceDE w:val="0"/>
      <w:autoSpaceDN w:val="0"/>
      <w:adjustRightInd w:val="0"/>
    </w:pPr>
    <w:rPr>
      <w:rFonts w:ascii="Arial" w:eastAsia="Times New Roman" w:hAnsi="Arial" w:cs="Arial"/>
      <w:color w:val="000000"/>
      <w:lang w:val="en-GB" w:eastAsia="en-GB" w:bidi="en-GB"/>
    </w:rPr>
  </w:style>
  <w:style w:type="paragraph" w:customStyle="1" w:styleId="Boxinevidenza">
    <w:name w:val="Box in evidenza"/>
    <w:basedOn w:val="Normal"/>
    <w:qFormat/>
    <w:rsid w:val="003C2749"/>
    <w:pPr>
      <w:pBdr>
        <w:top w:val="single" w:sz="8" w:space="5" w:color="898989" w:themeColor="text1" w:themeTint="80"/>
        <w:left w:val="single" w:sz="8" w:space="5" w:color="898989" w:themeColor="text1" w:themeTint="80"/>
        <w:bottom w:val="single" w:sz="8" w:space="5" w:color="898989" w:themeColor="text1" w:themeTint="80"/>
        <w:right w:val="single" w:sz="8" w:space="5" w:color="898989" w:themeColor="text1" w:themeTint="80"/>
      </w:pBdr>
    </w:pPr>
    <w:rPr>
      <w:color w:val="4E4E4E" w:themeColor="text1" w:themeTint="BF"/>
    </w:rPr>
  </w:style>
  <w:style w:type="paragraph" w:styleId="Encabezado">
    <w:name w:val="header"/>
    <w:basedOn w:val="Normal"/>
    <w:link w:val="EncabezadoCar"/>
    <w:uiPriority w:val="99"/>
    <w:unhideWhenUsed/>
    <w:rsid w:val="00676B30"/>
    <w:pPr>
      <w:tabs>
        <w:tab w:val="center" w:pos="4819"/>
        <w:tab w:val="right" w:pos="9638"/>
      </w:tabs>
    </w:pPr>
  </w:style>
  <w:style w:type="character" w:customStyle="1" w:styleId="EncabezadoCar">
    <w:name w:val="Encabezado Car"/>
    <w:basedOn w:val="Fuentedeprrafopredeter"/>
    <w:link w:val="Encabezado"/>
    <w:uiPriority w:val="99"/>
    <w:rsid w:val="00676B30"/>
    <w:rPr>
      <w:sz w:val="20"/>
    </w:rPr>
  </w:style>
  <w:style w:type="paragraph" w:customStyle="1" w:styleId="Citazione1">
    <w:name w:val="Citazione1"/>
    <w:basedOn w:val="Normal"/>
    <w:qFormat/>
    <w:rsid w:val="00820E7A"/>
    <w:pPr>
      <w:pBdr>
        <w:top w:val="single" w:sz="2" w:space="4" w:color="E9E9E9" w:themeColor="background2" w:themeTint="66"/>
        <w:left w:val="single" w:sz="2" w:space="4" w:color="E9E9E9" w:themeColor="background2" w:themeTint="66"/>
        <w:bottom w:val="single" w:sz="2" w:space="4" w:color="E9E9E9" w:themeColor="background2" w:themeTint="66"/>
        <w:right w:val="single" w:sz="2" w:space="4" w:color="E9E9E9" w:themeColor="background2" w:themeTint="66"/>
      </w:pBdr>
      <w:shd w:val="clear" w:color="auto" w:fill="E9E9E9" w:themeFill="background2" w:themeFillTint="66"/>
      <w:spacing w:line="288" w:lineRule="auto"/>
    </w:pPr>
    <w:rPr>
      <w:bCs/>
      <w:sz w:val="21"/>
      <w:lang w:val="en-US"/>
    </w:rPr>
  </w:style>
  <w:style w:type="paragraph" w:styleId="Prrafodelista">
    <w:name w:val="List Paragraph"/>
    <w:aliases w:val="text bullet"/>
    <w:basedOn w:val="Normal"/>
    <w:uiPriority w:val="34"/>
    <w:qFormat/>
    <w:rsid w:val="00540517"/>
    <w:pPr>
      <w:ind w:left="720"/>
      <w:contextualSpacing/>
    </w:pPr>
  </w:style>
  <w:style w:type="paragraph" w:customStyle="1" w:styleId="Intropuntoelenco">
    <w:name w:val="Intro punto elenco"/>
    <w:qFormat/>
    <w:rsid w:val="00123BC8"/>
    <w:pPr>
      <w:spacing w:after="200" w:line="264" w:lineRule="auto"/>
    </w:pPr>
    <w:rPr>
      <w:rFonts w:ascii="Arial" w:hAnsi="Arial" w:cs="Times New Roman (Corpo CS)"/>
      <w:color w:val="646464" w:themeColor="background2" w:themeShade="80"/>
      <w:sz w:val="25"/>
      <w:lang w:val="en-US"/>
    </w:rPr>
  </w:style>
  <w:style w:type="table" w:styleId="Tablaconcuadrcula1clara-nfasis3">
    <w:name w:val="Grid Table 1 Light Accent 3"/>
    <w:basedOn w:val="Tablanormal"/>
    <w:uiPriority w:val="46"/>
    <w:rsid w:val="00FC3912"/>
    <w:tblPr>
      <w:tblStyleRowBandSize w:val="1"/>
      <w:tblStyleColBandSize w:val="1"/>
      <w:tblBorders>
        <w:top w:val="single" w:sz="4" w:space="0" w:color="EF829C" w:themeColor="accent3" w:themeTint="66"/>
        <w:left w:val="single" w:sz="4" w:space="0" w:color="EF829C" w:themeColor="accent3" w:themeTint="66"/>
        <w:bottom w:val="single" w:sz="4" w:space="0" w:color="EF829C" w:themeColor="accent3" w:themeTint="66"/>
        <w:right w:val="single" w:sz="4" w:space="0" w:color="EF829C" w:themeColor="accent3" w:themeTint="66"/>
        <w:insideH w:val="single" w:sz="4" w:space="0" w:color="EF829C" w:themeColor="accent3" w:themeTint="66"/>
        <w:insideV w:val="single" w:sz="4" w:space="0" w:color="EF829C" w:themeColor="accent3" w:themeTint="66"/>
      </w:tblBorders>
    </w:tblPr>
    <w:tblStylePr w:type="firstRow">
      <w:rPr>
        <w:b/>
        <w:bCs/>
      </w:rPr>
      <w:tblPr/>
      <w:tcPr>
        <w:tcBorders>
          <w:bottom w:val="single" w:sz="12" w:space="0" w:color="E7446B" w:themeColor="accent3" w:themeTint="99"/>
        </w:tcBorders>
      </w:tcPr>
    </w:tblStylePr>
    <w:tblStylePr w:type="lastRow">
      <w:rPr>
        <w:b/>
        <w:bCs/>
      </w:rPr>
      <w:tblPr/>
      <w:tcPr>
        <w:tcBorders>
          <w:top w:val="double" w:sz="2" w:space="0" w:color="E7446B" w:themeColor="accent3" w:themeTint="99"/>
        </w:tcBorders>
      </w:tcPr>
    </w:tblStylePr>
    <w:tblStylePr w:type="firstCol">
      <w:rPr>
        <w:b/>
        <w:bCs/>
      </w:rPr>
    </w:tblStylePr>
    <w:tblStylePr w:type="lastCol">
      <w:rPr>
        <w:b/>
        <w:bCs/>
      </w:rPr>
    </w:tblStylePr>
  </w:style>
  <w:style w:type="table" w:customStyle="1" w:styleId="GeneraliCS">
    <w:name w:val="Generali CS"/>
    <w:basedOn w:val="Tablanormal"/>
    <w:uiPriority w:val="99"/>
    <w:rsid w:val="004C373A"/>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paragraph" w:customStyle="1" w:styleId="Chiusura">
    <w:name w:val="Chiusura"/>
    <w:basedOn w:val="Normal"/>
    <w:qFormat/>
    <w:rsid w:val="00AA5E94"/>
    <w:rPr>
      <w:b/>
      <w:bCs/>
      <w:color w:val="141414" w:themeColor="text1"/>
      <w:sz w:val="16"/>
      <w:szCs w:val="16"/>
      <w:lang w:val="en-US"/>
    </w:rPr>
  </w:style>
  <w:style w:type="table" w:customStyle="1" w:styleId="GeneraliCS1">
    <w:name w:val="Generali CS1"/>
    <w:basedOn w:val="Tablanormal"/>
    <w:uiPriority w:val="99"/>
    <w:rsid w:val="00CE3CEB"/>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2">
    <w:name w:val="Generali CS2"/>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3">
    <w:name w:val="Generali CS3"/>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4">
    <w:name w:val="Generali CS4"/>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5">
    <w:name w:val="Generali CS5"/>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6">
    <w:name w:val="Generali CS6"/>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table" w:customStyle="1" w:styleId="GeneraliCS7">
    <w:name w:val="Generali CS7"/>
    <w:basedOn w:val="Tablanormal"/>
    <w:uiPriority w:val="99"/>
    <w:rsid w:val="002905B8"/>
    <w:tblPr>
      <w:tblStyleRowBandSize w:val="1"/>
      <w:tblStyleColBandSize w:val="1"/>
      <w:tblBorders>
        <w:top w:val="single" w:sz="4" w:space="0" w:color="959595" w:themeColor="background2" w:themeShade="BF"/>
        <w:left w:val="single" w:sz="4" w:space="0" w:color="959595" w:themeColor="background2" w:themeShade="BF"/>
        <w:bottom w:val="single" w:sz="4" w:space="0" w:color="959595" w:themeColor="background2" w:themeShade="BF"/>
        <w:right w:val="single" w:sz="4" w:space="0" w:color="959595" w:themeColor="background2" w:themeShade="BF"/>
        <w:insideH w:val="dotted" w:sz="4" w:space="0" w:color="959595" w:themeColor="background2" w:themeShade="BF"/>
        <w:insideV w:val="dotted" w:sz="4" w:space="0" w:color="959595" w:themeColor="background2" w:themeShade="BF"/>
      </w:tblBorders>
    </w:tblPr>
    <w:tblStylePr w:type="firstRow">
      <w:pPr>
        <w:jc w:val="left"/>
      </w:pPr>
      <w:rPr>
        <w:rFonts w:asciiTheme="minorHAnsi" w:hAnsiTheme="minorHAnsi"/>
        <w:b/>
        <w:color w:val="C21B17" w:themeColor="accent1"/>
        <w:sz w:val="28"/>
      </w:rPr>
      <w:tblPr/>
      <w:tcPr>
        <w:shd w:val="clear" w:color="auto" w:fill="FCE9E3" w:themeFill="accent5" w:themeFillTint="33"/>
        <w:vAlign w:val="center"/>
      </w:tcPr>
    </w:tblStylePr>
    <w:tblStylePr w:type="lastRow">
      <w:rPr>
        <w:rFonts w:asciiTheme="minorHAnsi" w:hAnsiTheme="minorHAnsi"/>
        <w:color w:val="141414" w:themeColor="text1"/>
        <w:sz w:val="13"/>
      </w:rPr>
      <w:tblPr/>
      <w:tcPr>
        <w:tcBorders>
          <w:top w:val="single" w:sz="4" w:space="0" w:color="959595" w:themeColor="background2" w:themeShade="BF"/>
        </w:tcBorders>
      </w:tcPr>
    </w:tblStylePr>
    <w:tblStylePr w:type="firstCol">
      <w:tblPr/>
      <w:tcPr>
        <w:tcBorders>
          <w:left w:val="single" w:sz="4" w:space="0" w:color="959595" w:themeColor="background2" w:themeShade="BF"/>
        </w:tcBorders>
      </w:tcPr>
    </w:tblStylePr>
    <w:tblStylePr w:type="band1Vert">
      <w:rPr>
        <w:rFonts w:asciiTheme="minorHAnsi" w:hAnsiTheme="minorHAnsi"/>
        <w:sz w:val="20"/>
      </w:rPr>
      <w:tblPr/>
      <w:tcPr>
        <w:tcBorders>
          <w:insideV w:val="dotted" w:sz="4" w:space="0" w:color="959595" w:themeColor="background2" w:themeShade="BF"/>
        </w:tcBorders>
      </w:tcPr>
    </w:tblStylePr>
    <w:tblStylePr w:type="band2Vert">
      <w:rPr>
        <w:rFonts w:asciiTheme="minorHAnsi" w:hAnsiTheme="minorHAnsi"/>
        <w:sz w:val="20"/>
      </w:rPr>
      <w:tblPr/>
      <w:tcPr>
        <w:tcBorders>
          <w:insideV w:val="dotted" w:sz="4" w:space="0" w:color="959595" w:themeColor="background2" w:themeShade="BF"/>
        </w:tcBorders>
      </w:tcPr>
    </w:tblStylePr>
    <w:tblStylePr w:type="band1Horz">
      <w:pPr>
        <w:jc w:val="left"/>
      </w:pPr>
      <w:rPr>
        <w:rFonts w:asciiTheme="minorHAnsi" w:hAnsiTheme="minorHAnsi"/>
        <w:color w:val="141414" w:themeColor="text1"/>
        <w:sz w:val="20"/>
      </w:rPr>
      <w:tblPr/>
      <w:tcPr>
        <w:tcBorders>
          <w:insideH w:val="single" w:sz="4" w:space="0" w:color="959595" w:themeColor="background2" w:themeShade="BF"/>
        </w:tcBorders>
      </w:tcPr>
    </w:tblStylePr>
    <w:tblStylePr w:type="band2Horz">
      <w:rPr>
        <w:rFonts w:asciiTheme="minorHAnsi" w:hAnsiTheme="minorHAnsi"/>
        <w:sz w:val="20"/>
      </w:rPr>
      <w:tblPr/>
      <w:tcPr>
        <w:tcBorders>
          <w:insideH w:val="nil"/>
        </w:tcBorders>
      </w:tcPr>
    </w:tblStylePr>
  </w:style>
  <w:style w:type="character" w:styleId="Refdecomentario">
    <w:name w:val="annotation reference"/>
    <w:basedOn w:val="Fuentedeprrafopredeter"/>
    <w:uiPriority w:val="99"/>
    <w:semiHidden/>
    <w:unhideWhenUsed/>
    <w:rsid w:val="00833693"/>
    <w:rPr>
      <w:sz w:val="16"/>
      <w:szCs w:val="16"/>
    </w:rPr>
  </w:style>
  <w:style w:type="paragraph" w:styleId="Textocomentario">
    <w:name w:val="annotation text"/>
    <w:basedOn w:val="Normal"/>
    <w:link w:val="TextocomentarioCar"/>
    <w:uiPriority w:val="99"/>
    <w:unhideWhenUsed/>
    <w:rsid w:val="00833693"/>
    <w:rPr>
      <w:szCs w:val="20"/>
    </w:rPr>
  </w:style>
  <w:style w:type="character" w:customStyle="1" w:styleId="TextocomentarioCar">
    <w:name w:val="Texto comentario Car"/>
    <w:basedOn w:val="Fuentedeprrafopredeter"/>
    <w:link w:val="Textocomentario"/>
    <w:uiPriority w:val="99"/>
    <w:rsid w:val="00833693"/>
    <w:rPr>
      <w:sz w:val="20"/>
      <w:szCs w:val="20"/>
    </w:rPr>
  </w:style>
  <w:style w:type="paragraph" w:styleId="Asuntodelcomentario">
    <w:name w:val="annotation subject"/>
    <w:basedOn w:val="Textocomentario"/>
    <w:next w:val="Textocomentario"/>
    <w:link w:val="AsuntodelcomentarioCar"/>
    <w:uiPriority w:val="99"/>
    <w:semiHidden/>
    <w:unhideWhenUsed/>
    <w:rsid w:val="00833693"/>
    <w:rPr>
      <w:b/>
      <w:bCs/>
    </w:rPr>
  </w:style>
  <w:style w:type="character" w:customStyle="1" w:styleId="AsuntodelcomentarioCar">
    <w:name w:val="Asunto del comentario Car"/>
    <w:basedOn w:val="TextocomentarioCar"/>
    <w:link w:val="Asuntodelcomentario"/>
    <w:uiPriority w:val="99"/>
    <w:semiHidden/>
    <w:rsid w:val="00833693"/>
    <w:rPr>
      <w:b/>
      <w:bCs/>
      <w:sz w:val="20"/>
      <w:szCs w:val="20"/>
    </w:rPr>
  </w:style>
  <w:style w:type="paragraph" w:styleId="Textodeglobo">
    <w:name w:val="Balloon Text"/>
    <w:basedOn w:val="Normal"/>
    <w:link w:val="TextodegloboCar"/>
    <w:uiPriority w:val="99"/>
    <w:semiHidden/>
    <w:unhideWhenUsed/>
    <w:rsid w:val="008336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3693"/>
    <w:rPr>
      <w:rFonts w:ascii="Segoe UI" w:hAnsi="Segoe UI" w:cs="Segoe UI"/>
      <w:sz w:val="18"/>
      <w:szCs w:val="18"/>
    </w:rPr>
  </w:style>
  <w:style w:type="table" w:customStyle="1" w:styleId="GeneraliCS8">
    <w:name w:val="Generali CS8"/>
    <w:basedOn w:val="Tablanormal"/>
    <w:uiPriority w:val="99"/>
    <w:rsid w:val="00DE2DCD"/>
    <w:tblPr>
      <w:tblStyleRowBandSize w:val="1"/>
      <w:tblStyleColBandSize w:val="1"/>
      <w:tblBorders>
        <w:top w:val="single" w:sz="4" w:space="0" w:color="959595"/>
        <w:left w:val="single" w:sz="4" w:space="0" w:color="959595"/>
        <w:bottom w:val="single" w:sz="4" w:space="0" w:color="959595"/>
        <w:right w:val="single" w:sz="4" w:space="0" w:color="959595"/>
        <w:insideH w:val="dotted" w:sz="4" w:space="0" w:color="959595"/>
        <w:insideV w:val="dotted" w:sz="4" w:space="0" w:color="959595"/>
      </w:tblBorders>
    </w:tblPr>
    <w:tblStylePr w:type="firstRow">
      <w:pPr>
        <w:jc w:val="left"/>
      </w:pPr>
      <w:rPr>
        <w:rFonts w:ascii="Arial" w:hAnsi="Arial"/>
        <w:b/>
        <w:color w:val="C21B17"/>
        <w:sz w:val="28"/>
      </w:rPr>
      <w:tblPr/>
      <w:tcPr>
        <w:shd w:val="clear" w:color="auto" w:fill="FCE9E3"/>
        <w:vAlign w:val="center"/>
      </w:tcPr>
    </w:tblStylePr>
    <w:tblStylePr w:type="lastRow">
      <w:rPr>
        <w:rFonts w:ascii="Arial" w:hAnsi="Arial"/>
        <w:color w:val="141414"/>
        <w:sz w:val="13"/>
      </w:rPr>
      <w:tblPr/>
      <w:tcPr>
        <w:tcBorders>
          <w:top w:val="single" w:sz="4" w:space="0" w:color="959595"/>
        </w:tcBorders>
      </w:tcPr>
    </w:tblStylePr>
    <w:tblStylePr w:type="firstCol">
      <w:tblPr/>
      <w:tcPr>
        <w:tcBorders>
          <w:left w:val="single" w:sz="4" w:space="0" w:color="959595"/>
        </w:tcBorders>
      </w:tcPr>
    </w:tblStylePr>
    <w:tblStylePr w:type="band1Vert">
      <w:rPr>
        <w:rFonts w:ascii="Arial" w:hAnsi="Arial"/>
        <w:sz w:val="20"/>
      </w:rPr>
      <w:tblPr/>
      <w:tcPr>
        <w:tcBorders>
          <w:insideV w:val="dotted" w:sz="4" w:space="0" w:color="959595"/>
        </w:tcBorders>
      </w:tcPr>
    </w:tblStylePr>
    <w:tblStylePr w:type="band2Vert">
      <w:rPr>
        <w:rFonts w:ascii="Arial" w:hAnsi="Arial"/>
        <w:sz w:val="20"/>
      </w:rPr>
      <w:tblPr/>
      <w:tcPr>
        <w:tcBorders>
          <w:insideV w:val="dotted" w:sz="4" w:space="0" w:color="959595"/>
        </w:tcBorders>
      </w:tcPr>
    </w:tblStylePr>
    <w:tblStylePr w:type="band1Horz">
      <w:pPr>
        <w:jc w:val="left"/>
      </w:pPr>
      <w:rPr>
        <w:rFonts w:ascii="Arial" w:hAnsi="Arial"/>
        <w:color w:val="141414"/>
        <w:sz w:val="20"/>
      </w:rPr>
      <w:tblPr/>
      <w:tcPr>
        <w:tcBorders>
          <w:insideH w:val="single" w:sz="4" w:space="0" w:color="959595"/>
        </w:tcBorders>
      </w:tcPr>
    </w:tblStylePr>
    <w:tblStylePr w:type="band2Horz">
      <w:rPr>
        <w:rFonts w:ascii="Arial" w:hAnsi="Arial"/>
        <w:sz w:val="20"/>
      </w:rPr>
      <w:tblPr/>
      <w:tcPr>
        <w:tcBorders>
          <w:insideH w:val="nil"/>
        </w:tcBorders>
      </w:tcPr>
    </w:tblStylePr>
  </w:style>
  <w:style w:type="paragraph" w:customStyle="1" w:styleId="AGRGHeading02">
    <w:name w:val="AG_RG_Heading02"/>
    <w:next w:val="Normal"/>
    <w:link w:val="AGRGHeading02Char"/>
    <w:qFormat/>
    <w:rsid w:val="0057613D"/>
    <w:pPr>
      <w:spacing w:after="200" w:line="276" w:lineRule="auto"/>
      <w:outlineLvl w:val="1"/>
    </w:pPr>
    <w:rPr>
      <w:rFonts w:ascii="Arial" w:hAnsi="Arial"/>
      <w:b/>
      <w:smallCaps/>
      <w:color w:val="C21C1D"/>
      <w:sz w:val="22"/>
      <w:szCs w:val="22"/>
      <w:lang w:val="en-GB"/>
    </w:rPr>
  </w:style>
  <w:style w:type="character" w:customStyle="1" w:styleId="AGRGHeading02Char">
    <w:name w:val="AG_RG_Heading02 Char"/>
    <w:basedOn w:val="Fuentedeprrafopredeter"/>
    <w:link w:val="AGRGHeading02"/>
    <w:rsid w:val="0057613D"/>
    <w:rPr>
      <w:rFonts w:ascii="Arial" w:hAnsi="Arial"/>
      <w:b/>
      <w:smallCaps/>
      <w:color w:val="C21C1D"/>
      <w:sz w:val="22"/>
      <w:szCs w:val="22"/>
      <w:lang w:val="en-GB"/>
    </w:rPr>
  </w:style>
  <w:style w:type="paragraph" w:customStyle="1" w:styleId="AGRGStandardReg">
    <w:name w:val="AG_RG_StandardReg"/>
    <w:link w:val="AGRGStandardRegCarattere"/>
    <w:qFormat/>
    <w:rsid w:val="0057613D"/>
    <w:pPr>
      <w:spacing w:after="160" w:line="276" w:lineRule="auto"/>
      <w:jc w:val="both"/>
    </w:pPr>
    <w:rPr>
      <w:rFonts w:ascii="Arial" w:hAnsi="Arial"/>
      <w:color w:val="6F7072"/>
      <w:sz w:val="16"/>
      <w:szCs w:val="22"/>
    </w:rPr>
  </w:style>
  <w:style w:type="character" w:customStyle="1" w:styleId="UnresolvedMention1">
    <w:name w:val="Unresolved Mention1"/>
    <w:basedOn w:val="Fuentedeprrafopredeter"/>
    <w:uiPriority w:val="99"/>
    <w:semiHidden/>
    <w:unhideWhenUsed/>
    <w:rsid w:val="00565243"/>
    <w:rPr>
      <w:color w:val="605E5C"/>
      <w:shd w:val="clear" w:color="auto" w:fill="E1DFDD"/>
    </w:rPr>
  </w:style>
  <w:style w:type="character" w:styleId="Mencinsinresolver">
    <w:name w:val="Unresolved Mention"/>
    <w:basedOn w:val="Fuentedeprrafopredeter"/>
    <w:uiPriority w:val="99"/>
    <w:semiHidden/>
    <w:unhideWhenUsed/>
    <w:rsid w:val="00986325"/>
    <w:rPr>
      <w:color w:val="605E5C"/>
      <w:shd w:val="clear" w:color="auto" w:fill="E1DFDD"/>
    </w:rPr>
  </w:style>
  <w:style w:type="numbering" w:customStyle="1" w:styleId="Elencocorrente1">
    <w:name w:val="Elenco corrente1"/>
    <w:uiPriority w:val="99"/>
    <w:rsid w:val="00123BC8"/>
    <w:pPr>
      <w:numPr>
        <w:numId w:val="1"/>
      </w:numPr>
    </w:pPr>
  </w:style>
  <w:style w:type="numbering" w:customStyle="1" w:styleId="Elencocorrente2">
    <w:name w:val="Elenco corrente2"/>
    <w:uiPriority w:val="99"/>
    <w:rsid w:val="00123BC8"/>
    <w:pPr>
      <w:numPr>
        <w:numId w:val="2"/>
      </w:numPr>
    </w:pPr>
  </w:style>
  <w:style w:type="character" w:styleId="Textoennegrita">
    <w:name w:val="Strong"/>
    <w:basedOn w:val="Fuentedeprrafopredeter"/>
    <w:uiPriority w:val="22"/>
    <w:qFormat/>
    <w:rsid w:val="0070134C"/>
    <w:rPr>
      <w:b/>
      <w:bCs/>
    </w:rPr>
  </w:style>
  <w:style w:type="paragraph" w:styleId="NormalWeb">
    <w:name w:val="Normal (Web)"/>
    <w:basedOn w:val="Normal"/>
    <w:uiPriority w:val="99"/>
    <w:unhideWhenUsed/>
    <w:rsid w:val="006A1432"/>
    <w:pPr>
      <w:spacing w:before="100" w:beforeAutospacing="1" w:after="100" w:afterAutospacing="1"/>
      <w:jc w:val="left"/>
    </w:pPr>
    <w:rPr>
      <w:rFonts w:ascii="Times New Roman" w:eastAsia="Times New Roman" w:hAnsi="Times New Roman" w:cs="Times New Roman"/>
      <w:sz w:val="24"/>
      <w:lang w:eastAsia="en-GB"/>
    </w:rPr>
  </w:style>
  <w:style w:type="paragraph" w:customStyle="1" w:styleId="Elencopuntato">
    <w:name w:val="Elenco puntato"/>
    <w:basedOn w:val="Normal"/>
    <w:qFormat/>
    <w:rsid w:val="00EA63FE"/>
    <w:pPr>
      <w:spacing w:after="200"/>
      <w:ind w:left="360" w:hanging="360"/>
      <w:contextualSpacing/>
    </w:pPr>
  </w:style>
  <w:style w:type="paragraph" w:styleId="Textoindependiente">
    <w:name w:val="Body Text"/>
    <w:basedOn w:val="Normal"/>
    <w:link w:val="TextoindependienteCar"/>
    <w:uiPriority w:val="1"/>
    <w:qFormat/>
    <w:rsid w:val="008E2CA5"/>
    <w:pPr>
      <w:widowControl w:val="0"/>
      <w:spacing w:before="30"/>
      <w:ind w:left="1077"/>
      <w:jc w:val="left"/>
    </w:pPr>
    <w:rPr>
      <w:rFonts w:ascii="Arial" w:eastAsia="Arial" w:hAnsi="Arial"/>
      <w:sz w:val="16"/>
      <w:szCs w:val="16"/>
      <w:lang w:val="en-US"/>
    </w:rPr>
  </w:style>
  <w:style w:type="character" w:customStyle="1" w:styleId="TextoindependienteCar">
    <w:name w:val="Texto independiente Car"/>
    <w:basedOn w:val="Fuentedeprrafopredeter"/>
    <w:link w:val="Textoindependiente"/>
    <w:uiPriority w:val="1"/>
    <w:rsid w:val="008E2CA5"/>
    <w:rPr>
      <w:rFonts w:ascii="Arial" w:eastAsia="Arial" w:hAnsi="Arial"/>
      <w:sz w:val="16"/>
      <w:szCs w:val="16"/>
      <w:lang w:val="en-US"/>
    </w:rPr>
  </w:style>
  <w:style w:type="paragraph" w:customStyle="1" w:styleId="TableParagraph">
    <w:name w:val="Table Paragraph"/>
    <w:basedOn w:val="Normal"/>
    <w:uiPriority w:val="1"/>
    <w:qFormat/>
    <w:rsid w:val="008E2CA5"/>
    <w:pPr>
      <w:widowControl w:val="0"/>
      <w:jc w:val="left"/>
    </w:pPr>
    <w:rPr>
      <w:sz w:val="22"/>
      <w:szCs w:val="22"/>
      <w:lang w:val="en-US"/>
    </w:rPr>
  </w:style>
  <w:style w:type="paragraph" w:styleId="Revisin">
    <w:name w:val="Revision"/>
    <w:hidden/>
    <w:uiPriority w:val="99"/>
    <w:semiHidden/>
    <w:rsid w:val="003A4D77"/>
    <w:rPr>
      <w:sz w:val="20"/>
      <w:lang w:val="en-GB"/>
    </w:rPr>
  </w:style>
  <w:style w:type="paragraph" w:customStyle="1" w:styleId="xmsonormal">
    <w:name w:val="xmsonormal"/>
    <w:basedOn w:val="Normal"/>
    <w:rsid w:val="00881115"/>
    <w:pPr>
      <w:jc w:val="left"/>
    </w:pPr>
    <w:rPr>
      <w:rFonts w:ascii="Calibri" w:hAnsi="Calibri" w:cs="Calibri"/>
      <w:sz w:val="22"/>
      <w:szCs w:val="22"/>
      <w:lang w:eastAsia="it-IT"/>
    </w:rPr>
  </w:style>
  <w:style w:type="character" w:customStyle="1" w:styleId="spelle">
    <w:name w:val="spelle"/>
    <w:basedOn w:val="Fuentedeprrafopredeter"/>
    <w:rsid w:val="00881115"/>
  </w:style>
  <w:style w:type="character" w:customStyle="1" w:styleId="ui-provider">
    <w:name w:val="ui-provider"/>
    <w:basedOn w:val="Fuentedeprrafopredeter"/>
    <w:rsid w:val="00702B4B"/>
  </w:style>
  <w:style w:type="paragraph" w:styleId="Textonotaalfinal">
    <w:name w:val="endnote text"/>
    <w:basedOn w:val="Normal"/>
    <w:link w:val="TextonotaalfinalCar"/>
    <w:uiPriority w:val="99"/>
    <w:semiHidden/>
    <w:unhideWhenUsed/>
    <w:rsid w:val="00236ABC"/>
    <w:rPr>
      <w:szCs w:val="20"/>
    </w:rPr>
  </w:style>
  <w:style w:type="character" w:customStyle="1" w:styleId="TextonotaalfinalCar">
    <w:name w:val="Texto nota al final Car"/>
    <w:basedOn w:val="Fuentedeprrafopredeter"/>
    <w:link w:val="Textonotaalfinal"/>
    <w:uiPriority w:val="99"/>
    <w:semiHidden/>
    <w:rsid w:val="00236ABC"/>
    <w:rPr>
      <w:sz w:val="20"/>
      <w:szCs w:val="20"/>
      <w:lang w:val="en-GB"/>
    </w:rPr>
  </w:style>
  <w:style w:type="character" w:styleId="Refdenotaalfinal">
    <w:name w:val="endnote reference"/>
    <w:basedOn w:val="Fuentedeprrafopredeter"/>
    <w:uiPriority w:val="99"/>
    <w:semiHidden/>
    <w:unhideWhenUsed/>
    <w:rsid w:val="00236ABC"/>
    <w:rPr>
      <w:vertAlign w:val="superscript"/>
    </w:rPr>
  </w:style>
  <w:style w:type="character" w:customStyle="1" w:styleId="cf01">
    <w:name w:val="cf01"/>
    <w:basedOn w:val="Fuentedeprrafopredeter"/>
    <w:rsid w:val="00F84B8F"/>
    <w:rPr>
      <w:rFonts w:ascii="Segoe UI" w:hAnsi="Segoe UI" w:cs="Segoe UI" w:hint="default"/>
      <w:sz w:val="18"/>
      <w:szCs w:val="18"/>
    </w:rPr>
  </w:style>
  <w:style w:type="character" w:customStyle="1" w:styleId="AGRGStandardRegCarattere">
    <w:name w:val="AG_RG_StandardReg Carattere"/>
    <w:basedOn w:val="Fuentedeprrafopredeter"/>
    <w:link w:val="AGRGStandardReg"/>
    <w:rsid w:val="003C149E"/>
    <w:rPr>
      <w:rFonts w:ascii="Arial" w:hAnsi="Arial"/>
      <w:color w:val="6F7072"/>
      <w:sz w:val="16"/>
      <w:szCs w:val="22"/>
    </w:rPr>
  </w:style>
  <w:style w:type="paragraph" w:styleId="Piedepgina">
    <w:name w:val="footer"/>
    <w:basedOn w:val="Normal"/>
    <w:link w:val="PiedepginaCar"/>
    <w:uiPriority w:val="99"/>
    <w:unhideWhenUsed/>
    <w:rsid w:val="00BB71F7"/>
    <w:pPr>
      <w:tabs>
        <w:tab w:val="center" w:pos="4680"/>
        <w:tab w:val="right" w:pos="9360"/>
      </w:tabs>
      <w:jc w:val="left"/>
    </w:pPr>
    <w:rPr>
      <w:rFonts w:eastAsiaTheme="minorEastAsia" w:cs="Times New Roman"/>
      <w:sz w:val="22"/>
      <w:szCs w:val="22"/>
      <w:lang w:val="it-IT" w:eastAsia="it-IT"/>
    </w:rPr>
  </w:style>
  <w:style w:type="character" w:customStyle="1" w:styleId="PiedepginaCar">
    <w:name w:val="Pie de página Car"/>
    <w:basedOn w:val="Fuentedeprrafopredeter"/>
    <w:link w:val="Piedepgina"/>
    <w:uiPriority w:val="99"/>
    <w:rsid w:val="00BB71F7"/>
    <w:rPr>
      <w:rFonts w:eastAsiaTheme="minorEastAsia" w:cs="Times New Roman"/>
      <w:sz w:val="22"/>
      <w:szCs w:val="22"/>
      <w:lang w:eastAsia="it-IT"/>
    </w:rPr>
  </w:style>
  <w:style w:type="paragraph" w:styleId="Sinespaciado">
    <w:name w:val="No Spacing"/>
    <w:uiPriority w:val="1"/>
    <w:qFormat/>
    <w:rsid w:val="006A374D"/>
    <w:rPr>
      <w:rFonts w:ascii="Arial" w:hAnsi="Arial" w:cs="Arial"/>
      <w:kern w:val="2"/>
      <w:lang w:val="en-GB"/>
      <w14:ligatures w14:val="standardContextual"/>
    </w:rPr>
  </w:style>
  <w:style w:type="table" w:styleId="Tablaconcuadrcula">
    <w:name w:val="Table Grid"/>
    <w:basedOn w:val="Tablanormal"/>
    <w:uiPriority w:val="39"/>
    <w:rsid w:val="00CA07AF"/>
    <w:rPr>
      <w:rFonts w:ascii="Arial" w:hAnsi="Arial" w:cs="Arial"/>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ndextitle">
    <w:name w:val="G_index_title"/>
    <w:qFormat/>
    <w:rsid w:val="00817C2E"/>
    <w:pPr>
      <w:spacing w:after="440" w:line="220" w:lineRule="exact"/>
    </w:pPr>
    <w:rPr>
      <w:rFonts w:ascii="Arial" w:eastAsia="Times New Roman" w:hAnsi="Arial" w:cs="Times New Roman"/>
      <w:b/>
      <w:caps/>
      <w:color w:val="752027" w:themeColor="text2"/>
      <w:sz w:val="22"/>
      <w:lang w:eastAsia="it-IT"/>
    </w:rPr>
  </w:style>
  <w:style w:type="character" w:styleId="Mencionar">
    <w:name w:val="Mention"/>
    <w:basedOn w:val="Fuentedeprrafopredeter"/>
    <w:uiPriority w:val="99"/>
    <w:unhideWhenUsed/>
    <w:rsid w:val="002E0D00"/>
    <w:rPr>
      <w:color w:val="2B579A"/>
      <w:shd w:val="clear" w:color="auto" w:fill="E1DFDD"/>
    </w:rPr>
  </w:style>
  <w:style w:type="character" w:customStyle="1" w:styleId="normaltextrun">
    <w:name w:val="normaltextrun"/>
    <w:basedOn w:val="Fuentedeprrafopredeter"/>
    <w:rsid w:val="00311890"/>
  </w:style>
  <w:style w:type="character" w:customStyle="1" w:styleId="superscript">
    <w:name w:val="superscript"/>
    <w:basedOn w:val="Fuentedeprrafopredeter"/>
    <w:rsid w:val="00311890"/>
  </w:style>
  <w:style w:type="paragraph" w:customStyle="1" w:styleId="paragraph">
    <w:name w:val="paragraph"/>
    <w:basedOn w:val="Normal"/>
    <w:rsid w:val="00C72544"/>
    <w:pPr>
      <w:spacing w:before="100" w:beforeAutospacing="1" w:after="100" w:afterAutospacing="1"/>
      <w:jc w:val="left"/>
    </w:pPr>
    <w:rPr>
      <w:rFonts w:ascii="Times New Roman" w:eastAsia="Times New Roman" w:hAnsi="Times New Roman" w:cs="Times New Roman"/>
      <w:sz w:val="24"/>
      <w:lang w:eastAsia="en-GB"/>
    </w:rPr>
  </w:style>
  <w:style w:type="character" w:customStyle="1" w:styleId="eop">
    <w:name w:val="eop"/>
    <w:basedOn w:val="Fuentedeprrafopredeter"/>
    <w:rsid w:val="00C72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15672">
      <w:bodyDiv w:val="1"/>
      <w:marLeft w:val="0"/>
      <w:marRight w:val="0"/>
      <w:marTop w:val="0"/>
      <w:marBottom w:val="0"/>
      <w:divBdr>
        <w:top w:val="none" w:sz="0" w:space="0" w:color="auto"/>
        <w:left w:val="none" w:sz="0" w:space="0" w:color="auto"/>
        <w:bottom w:val="none" w:sz="0" w:space="0" w:color="auto"/>
        <w:right w:val="none" w:sz="0" w:space="0" w:color="auto"/>
      </w:divBdr>
    </w:div>
    <w:div w:id="74785470">
      <w:bodyDiv w:val="1"/>
      <w:marLeft w:val="0"/>
      <w:marRight w:val="0"/>
      <w:marTop w:val="0"/>
      <w:marBottom w:val="0"/>
      <w:divBdr>
        <w:top w:val="none" w:sz="0" w:space="0" w:color="auto"/>
        <w:left w:val="none" w:sz="0" w:space="0" w:color="auto"/>
        <w:bottom w:val="none" w:sz="0" w:space="0" w:color="auto"/>
        <w:right w:val="none" w:sz="0" w:space="0" w:color="auto"/>
      </w:divBdr>
    </w:div>
    <w:div w:id="98332639">
      <w:bodyDiv w:val="1"/>
      <w:marLeft w:val="0"/>
      <w:marRight w:val="0"/>
      <w:marTop w:val="0"/>
      <w:marBottom w:val="0"/>
      <w:divBdr>
        <w:top w:val="none" w:sz="0" w:space="0" w:color="auto"/>
        <w:left w:val="none" w:sz="0" w:space="0" w:color="auto"/>
        <w:bottom w:val="none" w:sz="0" w:space="0" w:color="auto"/>
        <w:right w:val="none" w:sz="0" w:space="0" w:color="auto"/>
      </w:divBdr>
    </w:div>
    <w:div w:id="122424490">
      <w:bodyDiv w:val="1"/>
      <w:marLeft w:val="0"/>
      <w:marRight w:val="0"/>
      <w:marTop w:val="0"/>
      <w:marBottom w:val="0"/>
      <w:divBdr>
        <w:top w:val="none" w:sz="0" w:space="0" w:color="auto"/>
        <w:left w:val="none" w:sz="0" w:space="0" w:color="auto"/>
        <w:bottom w:val="none" w:sz="0" w:space="0" w:color="auto"/>
        <w:right w:val="none" w:sz="0" w:space="0" w:color="auto"/>
      </w:divBdr>
    </w:div>
    <w:div w:id="127893077">
      <w:bodyDiv w:val="1"/>
      <w:marLeft w:val="0"/>
      <w:marRight w:val="0"/>
      <w:marTop w:val="0"/>
      <w:marBottom w:val="0"/>
      <w:divBdr>
        <w:top w:val="none" w:sz="0" w:space="0" w:color="auto"/>
        <w:left w:val="none" w:sz="0" w:space="0" w:color="auto"/>
        <w:bottom w:val="none" w:sz="0" w:space="0" w:color="auto"/>
        <w:right w:val="none" w:sz="0" w:space="0" w:color="auto"/>
      </w:divBdr>
    </w:div>
    <w:div w:id="152570385">
      <w:bodyDiv w:val="1"/>
      <w:marLeft w:val="0"/>
      <w:marRight w:val="0"/>
      <w:marTop w:val="0"/>
      <w:marBottom w:val="0"/>
      <w:divBdr>
        <w:top w:val="none" w:sz="0" w:space="0" w:color="auto"/>
        <w:left w:val="none" w:sz="0" w:space="0" w:color="auto"/>
        <w:bottom w:val="none" w:sz="0" w:space="0" w:color="auto"/>
        <w:right w:val="none" w:sz="0" w:space="0" w:color="auto"/>
      </w:divBdr>
    </w:div>
    <w:div w:id="156894234">
      <w:bodyDiv w:val="1"/>
      <w:marLeft w:val="0"/>
      <w:marRight w:val="0"/>
      <w:marTop w:val="0"/>
      <w:marBottom w:val="0"/>
      <w:divBdr>
        <w:top w:val="none" w:sz="0" w:space="0" w:color="auto"/>
        <w:left w:val="none" w:sz="0" w:space="0" w:color="auto"/>
        <w:bottom w:val="none" w:sz="0" w:space="0" w:color="auto"/>
        <w:right w:val="none" w:sz="0" w:space="0" w:color="auto"/>
      </w:divBdr>
    </w:div>
    <w:div w:id="159858228">
      <w:bodyDiv w:val="1"/>
      <w:marLeft w:val="0"/>
      <w:marRight w:val="0"/>
      <w:marTop w:val="0"/>
      <w:marBottom w:val="0"/>
      <w:divBdr>
        <w:top w:val="none" w:sz="0" w:space="0" w:color="auto"/>
        <w:left w:val="none" w:sz="0" w:space="0" w:color="auto"/>
        <w:bottom w:val="none" w:sz="0" w:space="0" w:color="auto"/>
        <w:right w:val="none" w:sz="0" w:space="0" w:color="auto"/>
      </w:divBdr>
      <w:divsChild>
        <w:div w:id="824592232">
          <w:marLeft w:val="288"/>
          <w:marRight w:val="0"/>
          <w:marTop w:val="0"/>
          <w:marBottom w:val="160"/>
          <w:divBdr>
            <w:top w:val="none" w:sz="0" w:space="0" w:color="auto"/>
            <w:left w:val="none" w:sz="0" w:space="0" w:color="auto"/>
            <w:bottom w:val="none" w:sz="0" w:space="0" w:color="auto"/>
            <w:right w:val="none" w:sz="0" w:space="0" w:color="auto"/>
          </w:divBdr>
        </w:div>
      </w:divsChild>
    </w:div>
    <w:div w:id="160238424">
      <w:bodyDiv w:val="1"/>
      <w:marLeft w:val="0"/>
      <w:marRight w:val="0"/>
      <w:marTop w:val="0"/>
      <w:marBottom w:val="0"/>
      <w:divBdr>
        <w:top w:val="none" w:sz="0" w:space="0" w:color="auto"/>
        <w:left w:val="none" w:sz="0" w:space="0" w:color="auto"/>
        <w:bottom w:val="none" w:sz="0" w:space="0" w:color="auto"/>
        <w:right w:val="none" w:sz="0" w:space="0" w:color="auto"/>
      </w:divBdr>
    </w:div>
    <w:div w:id="176118848">
      <w:bodyDiv w:val="1"/>
      <w:marLeft w:val="0"/>
      <w:marRight w:val="0"/>
      <w:marTop w:val="0"/>
      <w:marBottom w:val="0"/>
      <w:divBdr>
        <w:top w:val="none" w:sz="0" w:space="0" w:color="auto"/>
        <w:left w:val="none" w:sz="0" w:space="0" w:color="auto"/>
        <w:bottom w:val="none" w:sz="0" w:space="0" w:color="auto"/>
        <w:right w:val="none" w:sz="0" w:space="0" w:color="auto"/>
      </w:divBdr>
    </w:div>
    <w:div w:id="181478441">
      <w:bodyDiv w:val="1"/>
      <w:marLeft w:val="0"/>
      <w:marRight w:val="0"/>
      <w:marTop w:val="0"/>
      <w:marBottom w:val="0"/>
      <w:divBdr>
        <w:top w:val="none" w:sz="0" w:space="0" w:color="auto"/>
        <w:left w:val="none" w:sz="0" w:space="0" w:color="auto"/>
        <w:bottom w:val="none" w:sz="0" w:space="0" w:color="auto"/>
        <w:right w:val="none" w:sz="0" w:space="0" w:color="auto"/>
      </w:divBdr>
    </w:div>
    <w:div w:id="185947418">
      <w:bodyDiv w:val="1"/>
      <w:marLeft w:val="0"/>
      <w:marRight w:val="0"/>
      <w:marTop w:val="0"/>
      <w:marBottom w:val="0"/>
      <w:divBdr>
        <w:top w:val="none" w:sz="0" w:space="0" w:color="auto"/>
        <w:left w:val="none" w:sz="0" w:space="0" w:color="auto"/>
        <w:bottom w:val="none" w:sz="0" w:space="0" w:color="auto"/>
        <w:right w:val="none" w:sz="0" w:space="0" w:color="auto"/>
      </w:divBdr>
    </w:div>
    <w:div w:id="200367377">
      <w:bodyDiv w:val="1"/>
      <w:marLeft w:val="0"/>
      <w:marRight w:val="0"/>
      <w:marTop w:val="0"/>
      <w:marBottom w:val="0"/>
      <w:divBdr>
        <w:top w:val="none" w:sz="0" w:space="0" w:color="auto"/>
        <w:left w:val="none" w:sz="0" w:space="0" w:color="auto"/>
        <w:bottom w:val="none" w:sz="0" w:space="0" w:color="auto"/>
        <w:right w:val="none" w:sz="0" w:space="0" w:color="auto"/>
      </w:divBdr>
    </w:div>
    <w:div w:id="204761424">
      <w:bodyDiv w:val="1"/>
      <w:marLeft w:val="0"/>
      <w:marRight w:val="0"/>
      <w:marTop w:val="0"/>
      <w:marBottom w:val="0"/>
      <w:divBdr>
        <w:top w:val="none" w:sz="0" w:space="0" w:color="auto"/>
        <w:left w:val="none" w:sz="0" w:space="0" w:color="auto"/>
        <w:bottom w:val="none" w:sz="0" w:space="0" w:color="auto"/>
        <w:right w:val="none" w:sz="0" w:space="0" w:color="auto"/>
      </w:divBdr>
      <w:divsChild>
        <w:div w:id="1123109780">
          <w:marLeft w:val="0"/>
          <w:marRight w:val="0"/>
          <w:marTop w:val="0"/>
          <w:marBottom w:val="180"/>
          <w:divBdr>
            <w:top w:val="none" w:sz="0" w:space="0" w:color="auto"/>
            <w:left w:val="none" w:sz="0" w:space="0" w:color="auto"/>
            <w:bottom w:val="none" w:sz="0" w:space="0" w:color="auto"/>
            <w:right w:val="none" w:sz="0" w:space="0" w:color="auto"/>
          </w:divBdr>
          <w:divsChild>
            <w:div w:id="425419157">
              <w:marLeft w:val="0"/>
              <w:marRight w:val="0"/>
              <w:marTop w:val="0"/>
              <w:marBottom w:val="0"/>
              <w:divBdr>
                <w:top w:val="none" w:sz="0" w:space="0" w:color="auto"/>
                <w:left w:val="none" w:sz="0" w:space="0" w:color="auto"/>
                <w:bottom w:val="none" w:sz="0" w:space="0" w:color="auto"/>
                <w:right w:val="none" w:sz="0" w:space="0" w:color="auto"/>
              </w:divBdr>
              <w:divsChild>
                <w:div w:id="1850674161">
                  <w:marLeft w:val="0"/>
                  <w:marRight w:val="0"/>
                  <w:marTop w:val="0"/>
                  <w:marBottom w:val="0"/>
                  <w:divBdr>
                    <w:top w:val="none" w:sz="0" w:space="0" w:color="auto"/>
                    <w:left w:val="none" w:sz="0" w:space="0" w:color="auto"/>
                    <w:bottom w:val="none" w:sz="0" w:space="0" w:color="auto"/>
                    <w:right w:val="none" w:sz="0" w:space="0" w:color="auto"/>
                  </w:divBdr>
                  <w:divsChild>
                    <w:div w:id="834418678">
                      <w:marLeft w:val="0"/>
                      <w:marRight w:val="0"/>
                      <w:marTop w:val="0"/>
                      <w:marBottom w:val="0"/>
                      <w:divBdr>
                        <w:top w:val="none" w:sz="0" w:space="0" w:color="auto"/>
                        <w:left w:val="none" w:sz="0" w:space="0" w:color="auto"/>
                        <w:bottom w:val="none" w:sz="0" w:space="0" w:color="auto"/>
                        <w:right w:val="none" w:sz="0" w:space="0" w:color="auto"/>
                      </w:divBdr>
                      <w:divsChild>
                        <w:div w:id="1060322993">
                          <w:marLeft w:val="0"/>
                          <w:marRight w:val="0"/>
                          <w:marTop w:val="0"/>
                          <w:marBottom w:val="0"/>
                          <w:divBdr>
                            <w:top w:val="none" w:sz="0" w:space="0" w:color="auto"/>
                            <w:left w:val="none" w:sz="0" w:space="0" w:color="auto"/>
                            <w:bottom w:val="none" w:sz="0" w:space="0" w:color="auto"/>
                            <w:right w:val="none" w:sz="0" w:space="0" w:color="auto"/>
                          </w:divBdr>
                          <w:divsChild>
                            <w:div w:id="883641057">
                              <w:marLeft w:val="0"/>
                              <w:marRight w:val="0"/>
                              <w:marTop w:val="0"/>
                              <w:marBottom w:val="0"/>
                              <w:divBdr>
                                <w:top w:val="none" w:sz="0" w:space="0" w:color="auto"/>
                                <w:left w:val="none" w:sz="0" w:space="0" w:color="auto"/>
                                <w:bottom w:val="none" w:sz="0" w:space="0" w:color="auto"/>
                                <w:right w:val="none" w:sz="0" w:space="0" w:color="auto"/>
                              </w:divBdr>
                              <w:divsChild>
                                <w:div w:id="257639233">
                                  <w:marLeft w:val="0"/>
                                  <w:marRight w:val="0"/>
                                  <w:marTop w:val="0"/>
                                  <w:marBottom w:val="0"/>
                                  <w:divBdr>
                                    <w:top w:val="none" w:sz="0" w:space="0" w:color="auto"/>
                                    <w:left w:val="none" w:sz="0" w:space="0" w:color="auto"/>
                                    <w:bottom w:val="none" w:sz="0" w:space="0" w:color="auto"/>
                                    <w:right w:val="none" w:sz="0" w:space="0" w:color="auto"/>
                                  </w:divBdr>
                                  <w:divsChild>
                                    <w:div w:id="813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7278">
                          <w:marLeft w:val="0"/>
                          <w:marRight w:val="0"/>
                          <w:marTop w:val="0"/>
                          <w:marBottom w:val="0"/>
                          <w:divBdr>
                            <w:top w:val="none" w:sz="0" w:space="0" w:color="auto"/>
                            <w:left w:val="none" w:sz="0" w:space="0" w:color="auto"/>
                            <w:bottom w:val="none" w:sz="0" w:space="0" w:color="auto"/>
                            <w:right w:val="none" w:sz="0" w:space="0" w:color="auto"/>
                          </w:divBdr>
                          <w:divsChild>
                            <w:div w:id="810560578">
                              <w:marLeft w:val="0"/>
                              <w:marRight w:val="0"/>
                              <w:marTop w:val="60"/>
                              <w:marBottom w:val="60"/>
                              <w:divBdr>
                                <w:top w:val="none" w:sz="0" w:space="0" w:color="auto"/>
                                <w:left w:val="none" w:sz="0" w:space="0" w:color="auto"/>
                                <w:bottom w:val="none" w:sz="0" w:space="0" w:color="auto"/>
                                <w:right w:val="none" w:sz="0" w:space="0" w:color="auto"/>
                              </w:divBdr>
                              <w:divsChild>
                                <w:div w:id="279802415">
                                  <w:marLeft w:val="0"/>
                                  <w:marRight w:val="0"/>
                                  <w:marTop w:val="0"/>
                                  <w:marBottom w:val="0"/>
                                  <w:divBdr>
                                    <w:top w:val="none" w:sz="0" w:space="0" w:color="auto"/>
                                    <w:left w:val="none" w:sz="0" w:space="0" w:color="auto"/>
                                    <w:bottom w:val="none" w:sz="0" w:space="0" w:color="auto"/>
                                    <w:right w:val="none" w:sz="0" w:space="0" w:color="auto"/>
                                  </w:divBdr>
                                  <w:divsChild>
                                    <w:div w:id="877357550">
                                      <w:marLeft w:val="0"/>
                                      <w:marRight w:val="0"/>
                                      <w:marTop w:val="0"/>
                                      <w:marBottom w:val="0"/>
                                      <w:divBdr>
                                        <w:top w:val="none" w:sz="0" w:space="0" w:color="auto"/>
                                        <w:left w:val="none" w:sz="0" w:space="0" w:color="auto"/>
                                        <w:bottom w:val="none" w:sz="0" w:space="0" w:color="auto"/>
                                        <w:right w:val="none" w:sz="0" w:space="0" w:color="auto"/>
                                      </w:divBdr>
                                      <w:divsChild>
                                        <w:div w:id="1248929693">
                                          <w:marLeft w:val="0"/>
                                          <w:marRight w:val="0"/>
                                          <w:marTop w:val="0"/>
                                          <w:marBottom w:val="0"/>
                                          <w:divBdr>
                                            <w:top w:val="none" w:sz="0" w:space="0" w:color="auto"/>
                                            <w:left w:val="none" w:sz="0" w:space="0" w:color="auto"/>
                                            <w:bottom w:val="none" w:sz="0" w:space="0" w:color="auto"/>
                                            <w:right w:val="none" w:sz="0" w:space="0" w:color="auto"/>
                                          </w:divBdr>
                                          <w:divsChild>
                                            <w:div w:id="6250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3222">
                                      <w:marLeft w:val="0"/>
                                      <w:marRight w:val="0"/>
                                      <w:marTop w:val="0"/>
                                      <w:marBottom w:val="0"/>
                                      <w:divBdr>
                                        <w:top w:val="none" w:sz="0" w:space="0" w:color="auto"/>
                                        <w:left w:val="none" w:sz="0" w:space="0" w:color="auto"/>
                                        <w:bottom w:val="none" w:sz="0" w:space="0" w:color="auto"/>
                                        <w:right w:val="none" w:sz="0" w:space="0" w:color="auto"/>
                                      </w:divBdr>
                                      <w:divsChild>
                                        <w:div w:id="1774860306">
                                          <w:marLeft w:val="0"/>
                                          <w:marRight w:val="0"/>
                                          <w:marTop w:val="0"/>
                                          <w:marBottom w:val="0"/>
                                          <w:divBdr>
                                            <w:top w:val="none" w:sz="0" w:space="0" w:color="auto"/>
                                            <w:left w:val="none" w:sz="0" w:space="0" w:color="auto"/>
                                            <w:bottom w:val="none" w:sz="0" w:space="0" w:color="auto"/>
                                            <w:right w:val="none" w:sz="0" w:space="0" w:color="auto"/>
                                          </w:divBdr>
                                          <w:divsChild>
                                            <w:div w:id="18365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9555029">
      <w:bodyDiv w:val="1"/>
      <w:marLeft w:val="0"/>
      <w:marRight w:val="0"/>
      <w:marTop w:val="0"/>
      <w:marBottom w:val="0"/>
      <w:divBdr>
        <w:top w:val="none" w:sz="0" w:space="0" w:color="auto"/>
        <w:left w:val="none" w:sz="0" w:space="0" w:color="auto"/>
        <w:bottom w:val="none" w:sz="0" w:space="0" w:color="auto"/>
        <w:right w:val="none" w:sz="0" w:space="0" w:color="auto"/>
      </w:divBdr>
    </w:div>
    <w:div w:id="224609517">
      <w:bodyDiv w:val="1"/>
      <w:marLeft w:val="0"/>
      <w:marRight w:val="0"/>
      <w:marTop w:val="0"/>
      <w:marBottom w:val="0"/>
      <w:divBdr>
        <w:top w:val="none" w:sz="0" w:space="0" w:color="auto"/>
        <w:left w:val="none" w:sz="0" w:space="0" w:color="auto"/>
        <w:bottom w:val="none" w:sz="0" w:space="0" w:color="auto"/>
        <w:right w:val="none" w:sz="0" w:space="0" w:color="auto"/>
      </w:divBdr>
    </w:div>
    <w:div w:id="231087036">
      <w:bodyDiv w:val="1"/>
      <w:marLeft w:val="0"/>
      <w:marRight w:val="0"/>
      <w:marTop w:val="0"/>
      <w:marBottom w:val="0"/>
      <w:divBdr>
        <w:top w:val="none" w:sz="0" w:space="0" w:color="auto"/>
        <w:left w:val="none" w:sz="0" w:space="0" w:color="auto"/>
        <w:bottom w:val="none" w:sz="0" w:space="0" w:color="auto"/>
        <w:right w:val="none" w:sz="0" w:space="0" w:color="auto"/>
      </w:divBdr>
    </w:div>
    <w:div w:id="280111387">
      <w:bodyDiv w:val="1"/>
      <w:marLeft w:val="0"/>
      <w:marRight w:val="0"/>
      <w:marTop w:val="0"/>
      <w:marBottom w:val="0"/>
      <w:divBdr>
        <w:top w:val="none" w:sz="0" w:space="0" w:color="auto"/>
        <w:left w:val="none" w:sz="0" w:space="0" w:color="auto"/>
        <w:bottom w:val="none" w:sz="0" w:space="0" w:color="auto"/>
        <w:right w:val="none" w:sz="0" w:space="0" w:color="auto"/>
      </w:divBdr>
    </w:div>
    <w:div w:id="299384130">
      <w:bodyDiv w:val="1"/>
      <w:marLeft w:val="0"/>
      <w:marRight w:val="0"/>
      <w:marTop w:val="0"/>
      <w:marBottom w:val="0"/>
      <w:divBdr>
        <w:top w:val="none" w:sz="0" w:space="0" w:color="auto"/>
        <w:left w:val="none" w:sz="0" w:space="0" w:color="auto"/>
        <w:bottom w:val="none" w:sz="0" w:space="0" w:color="auto"/>
        <w:right w:val="none" w:sz="0" w:space="0" w:color="auto"/>
      </w:divBdr>
    </w:div>
    <w:div w:id="317029536">
      <w:bodyDiv w:val="1"/>
      <w:marLeft w:val="0"/>
      <w:marRight w:val="0"/>
      <w:marTop w:val="0"/>
      <w:marBottom w:val="0"/>
      <w:divBdr>
        <w:top w:val="none" w:sz="0" w:space="0" w:color="auto"/>
        <w:left w:val="none" w:sz="0" w:space="0" w:color="auto"/>
        <w:bottom w:val="none" w:sz="0" w:space="0" w:color="auto"/>
        <w:right w:val="none" w:sz="0" w:space="0" w:color="auto"/>
      </w:divBdr>
    </w:div>
    <w:div w:id="324624402">
      <w:bodyDiv w:val="1"/>
      <w:marLeft w:val="0"/>
      <w:marRight w:val="0"/>
      <w:marTop w:val="0"/>
      <w:marBottom w:val="0"/>
      <w:divBdr>
        <w:top w:val="none" w:sz="0" w:space="0" w:color="auto"/>
        <w:left w:val="none" w:sz="0" w:space="0" w:color="auto"/>
        <w:bottom w:val="none" w:sz="0" w:space="0" w:color="auto"/>
        <w:right w:val="none" w:sz="0" w:space="0" w:color="auto"/>
      </w:divBdr>
    </w:div>
    <w:div w:id="326516291">
      <w:bodyDiv w:val="1"/>
      <w:marLeft w:val="0"/>
      <w:marRight w:val="0"/>
      <w:marTop w:val="0"/>
      <w:marBottom w:val="0"/>
      <w:divBdr>
        <w:top w:val="none" w:sz="0" w:space="0" w:color="auto"/>
        <w:left w:val="none" w:sz="0" w:space="0" w:color="auto"/>
        <w:bottom w:val="none" w:sz="0" w:space="0" w:color="auto"/>
        <w:right w:val="none" w:sz="0" w:space="0" w:color="auto"/>
      </w:divBdr>
    </w:div>
    <w:div w:id="343216508">
      <w:bodyDiv w:val="1"/>
      <w:marLeft w:val="0"/>
      <w:marRight w:val="0"/>
      <w:marTop w:val="0"/>
      <w:marBottom w:val="0"/>
      <w:divBdr>
        <w:top w:val="none" w:sz="0" w:space="0" w:color="auto"/>
        <w:left w:val="none" w:sz="0" w:space="0" w:color="auto"/>
        <w:bottom w:val="none" w:sz="0" w:space="0" w:color="auto"/>
        <w:right w:val="none" w:sz="0" w:space="0" w:color="auto"/>
      </w:divBdr>
    </w:div>
    <w:div w:id="351999340">
      <w:bodyDiv w:val="1"/>
      <w:marLeft w:val="0"/>
      <w:marRight w:val="0"/>
      <w:marTop w:val="0"/>
      <w:marBottom w:val="0"/>
      <w:divBdr>
        <w:top w:val="none" w:sz="0" w:space="0" w:color="auto"/>
        <w:left w:val="none" w:sz="0" w:space="0" w:color="auto"/>
        <w:bottom w:val="none" w:sz="0" w:space="0" w:color="auto"/>
        <w:right w:val="none" w:sz="0" w:space="0" w:color="auto"/>
      </w:divBdr>
    </w:div>
    <w:div w:id="368186592">
      <w:bodyDiv w:val="1"/>
      <w:marLeft w:val="0"/>
      <w:marRight w:val="0"/>
      <w:marTop w:val="0"/>
      <w:marBottom w:val="0"/>
      <w:divBdr>
        <w:top w:val="none" w:sz="0" w:space="0" w:color="auto"/>
        <w:left w:val="none" w:sz="0" w:space="0" w:color="auto"/>
        <w:bottom w:val="none" w:sz="0" w:space="0" w:color="auto"/>
        <w:right w:val="none" w:sz="0" w:space="0" w:color="auto"/>
      </w:divBdr>
    </w:div>
    <w:div w:id="414059094">
      <w:bodyDiv w:val="1"/>
      <w:marLeft w:val="0"/>
      <w:marRight w:val="0"/>
      <w:marTop w:val="0"/>
      <w:marBottom w:val="0"/>
      <w:divBdr>
        <w:top w:val="none" w:sz="0" w:space="0" w:color="auto"/>
        <w:left w:val="none" w:sz="0" w:space="0" w:color="auto"/>
        <w:bottom w:val="none" w:sz="0" w:space="0" w:color="auto"/>
        <w:right w:val="none" w:sz="0" w:space="0" w:color="auto"/>
      </w:divBdr>
    </w:div>
    <w:div w:id="414859090">
      <w:bodyDiv w:val="1"/>
      <w:marLeft w:val="0"/>
      <w:marRight w:val="0"/>
      <w:marTop w:val="0"/>
      <w:marBottom w:val="0"/>
      <w:divBdr>
        <w:top w:val="none" w:sz="0" w:space="0" w:color="auto"/>
        <w:left w:val="none" w:sz="0" w:space="0" w:color="auto"/>
        <w:bottom w:val="none" w:sz="0" w:space="0" w:color="auto"/>
        <w:right w:val="none" w:sz="0" w:space="0" w:color="auto"/>
      </w:divBdr>
    </w:div>
    <w:div w:id="432828166">
      <w:bodyDiv w:val="1"/>
      <w:marLeft w:val="0"/>
      <w:marRight w:val="0"/>
      <w:marTop w:val="0"/>
      <w:marBottom w:val="0"/>
      <w:divBdr>
        <w:top w:val="none" w:sz="0" w:space="0" w:color="auto"/>
        <w:left w:val="none" w:sz="0" w:space="0" w:color="auto"/>
        <w:bottom w:val="none" w:sz="0" w:space="0" w:color="auto"/>
        <w:right w:val="none" w:sz="0" w:space="0" w:color="auto"/>
      </w:divBdr>
    </w:div>
    <w:div w:id="478692884">
      <w:bodyDiv w:val="1"/>
      <w:marLeft w:val="0"/>
      <w:marRight w:val="0"/>
      <w:marTop w:val="0"/>
      <w:marBottom w:val="0"/>
      <w:divBdr>
        <w:top w:val="none" w:sz="0" w:space="0" w:color="auto"/>
        <w:left w:val="none" w:sz="0" w:space="0" w:color="auto"/>
        <w:bottom w:val="none" w:sz="0" w:space="0" w:color="auto"/>
        <w:right w:val="none" w:sz="0" w:space="0" w:color="auto"/>
      </w:divBdr>
    </w:div>
    <w:div w:id="483204261">
      <w:bodyDiv w:val="1"/>
      <w:marLeft w:val="0"/>
      <w:marRight w:val="0"/>
      <w:marTop w:val="0"/>
      <w:marBottom w:val="0"/>
      <w:divBdr>
        <w:top w:val="none" w:sz="0" w:space="0" w:color="auto"/>
        <w:left w:val="none" w:sz="0" w:space="0" w:color="auto"/>
        <w:bottom w:val="none" w:sz="0" w:space="0" w:color="auto"/>
        <w:right w:val="none" w:sz="0" w:space="0" w:color="auto"/>
      </w:divBdr>
    </w:div>
    <w:div w:id="498816097">
      <w:bodyDiv w:val="1"/>
      <w:marLeft w:val="0"/>
      <w:marRight w:val="0"/>
      <w:marTop w:val="0"/>
      <w:marBottom w:val="0"/>
      <w:divBdr>
        <w:top w:val="none" w:sz="0" w:space="0" w:color="auto"/>
        <w:left w:val="none" w:sz="0" w:space="0" w:color="auto"/>
        <w:bottom w:val="none" w:sz="0" w:space="0" w:color="auto"/>
        <w:right w:val="none" w:sz="0" w:space="0" w:color="auto"/>
      </w:divBdr>
    </w:div>
    <w:div w:id="520122120">
      <w:bodyDiv w:val="1"/>
      <w:marLeft w:val="0"/>
      <w:marRight w:val="0"/>
      <w:marTop w:val="0"/>
      <w:marBottom w:val="0"/>
      <w:divBdr>
        <w:top w:val="none" w:sz="0" w:space="0" w:color="auto"/>
        <w:left w:val="none" w:sz="0" w:space="0" w:color="auto"/>
        <w:bottom w:val="none" w:sz="0" w:space="0" w:color="auto"/>
        <w:right w:val="none" w:sz="0" w:space="0" w:color="auto"/>
      </w:divBdr>
    </w:div>
    <w:div w:id="527833058">
      <w:bodyDiv w:val="1"/>
      <w:marLeft w:val="0"/>
      <w:marRight w:val="0"/>
      <w:marTop w:val="0"/>
      <w:marBottom w:val="0"/>
      <w:divBdr>
        <w:top w:val="none" w:sz="0" w:space="0" w:color="auto"/>
        <w:left w:val="none" w:sz="0" w:space="0" w:color="auto"/>
        <w:bottom w:val="none" w:sz="0" w:space="0" w:color="auto"/>
        <w:right w:val="none" w:sz="0" w:space="0" w:color="auto"/>
      </w:divBdr>
    </w:div>
    <w:div w:id="559053002">
      <w:bodyDiv w:val="1"/>
      <w:marLeft w:val="0"/>
      <w:marRight w:val="0"/>
      <w:marTop w:val="0"/>
      <w:marBottom w:val="0"/>
      <w:divBdr>
        <w:top w:val="none" w:sz="0" w:space="0" w:color="auto"/>
        <w:left w:val="none" w:sz="0" w:space="0" w:color="auto"/>
        <w:bottom w:val="none" w:sz="0" w:space="0" w:color="auto"/>
        <w:right w:val="none" w:sz="0" w:space="0" w:color="auto"/>
      </w:divBdr>
    </w:div>
    <w:div w:id="564681387">
      <w:bodyDiv w:val="1"/>
      <w:marLeft w:val="0"/>
      <w:marRight w:val="0"/>
      <w:marTop w:val="0"/>
      <w:marBottom w:val="0"/>
      <w:divBdr>
        <w:top w:val="none" w:sz="0" w:space="0" w:color="auto"/>
        <w:left w:val="none" w:sz="0" w:space="0" w:color="auto"/>
        <w:bottom w:val="none" w:sz="0" w:space="0" w:color="auto"/>
        <w:right w:val="none" w:sz="0" w:space="0" w:color="auto"/>
      </w:divBdr>
    </w:div>
    <w:div w:id="570231914">
      <w:bodyDiv w:val="1"/>
      <w:marLeft w:val="0"/>
      <w:marRight w:val="0"/>
      <w:marTop w:val="0"/>
      <w:marBottom w:val="0"/>
      <w:divBdr>
        <w:top w:val="none" w:sz="0" w:space="0" w:color="auto"/>
        <w:left w:val="none" w:sz="0" w:space="0" w:color="auto"/>
        <w:bottom w:val="none" w:sz="0" w:space="0" w:color="auto"/>
        <w:right w:val="none" w:sz="0" w:space="0" w:color="auto"/>
      </w:divBdr>
    </w:div>
    <w:div w:id="588930164">
      <w:bodyDiv w:val="1"/>
      <w:marLeft w:val="0"/>
      <w:marRight w:val="0"/>
      <w:marTop w:val="0"/>
      <w:marBottom w:val="0"/>
      <w:divBdr>
        <w:top w:val="none" w:sz="0" w:space="0" w:color="auto"/>
        <w:left w:val="none" w:sz="0" w:space="0" w:color="auto"/>
        <w:bottom w:val="none" w:sz="0" w:space="0" w:color="auto"/>
        <w:right w:val="none" w:sz="0" w:space="0" w:color="auto"/>
      </w:divBdr>
      <w:divsChild>
        <w:div w:id="46883835">
          <w:marLeft w:val="0"/>
          <w:marRight w:val="0"/>
          <w:marTop w:val="0"/>
          <w:marBottom w:val="0"/>
          <w:divBdr>
            <w:top w:val="none" w:sz="0" w:space="0" w:color="auto"/>
            <w:left w:val="none" w:sz="0" w:space="0" w:color="auto"/>
            <w:bottom w:val="none" w:sz="0" w:space="0" w:color="auto"/>
            <w:right w:val="none" w:sz="0" w:space="0" w:color="auto"/>
          </w:divBdr>
        </w:div>
        <w:div w:id="269631314">
          <w:marLeft w:val="0"/>
          <w:marRight w:val="0"/>
          <w:marTop w:val="0"/>
          <w:marBottom w:val="0"/>
          <w:divBdr>
            <w:top w:val="none" w:sz="0" w:space="0" w:color="auto"/>
            <w:left w:val="none" w:sz="0" w:space="0" w:color="auto"/>
            <w:bottom w:val="none" w:sz="0" w:space="0" w:color="auto"/>
            <w:right w:val="none" w:sz="0" w:space="0" w:color="auto"/>
          </w:divBdr>
        </w:div>
        <w:div w:id="275598056">
          <w:marLeft w:val="0"/>
          <w:marRight w:val="0"/>
          <w:marTop w:val="0"/>
          <w:marBottom w:val="0"/>
          <w:divBdr>
            <w:top w:val="none" w:sz="0" w:space="0" w:color="auto"/>
            <w:left w:val="none" w:sz="0" w:space="0" w:color="auto"/>
            <w:bottom w:val="none" w:sz="0" w:space="0" w:color="auto"/>
            <w:right w:val="none" w:sz="0" w:space="0" w:color="auto"/>
          </w:divBdr>
        </w:div>
        <w:div w:id="317420833">
          <w:marLeft w:val="0"/>
          <w:marRight w:val="0"/>
          <w:marTop w:val="0"/>
          <w:marBottom w:val="0"/>
          <w:divBdr>
            <w:top w:val="none" w:sz="0" w:space="0" w:color="auto"/>
            <w:left w:val="none" w:sz="0" w:space="0" w:color="auto"/>
            <w:bottom w:val="none" w:sz="0" w:space="0" w:color="auto"/>
            <w:right w:val="none" w:sz="0" w:space="0" w:color="auto"/>
          </w:divBdr>
        </w:div>
        <w:div w:id="385374179">
          <w:marLeft w:val="0"/>
          <w:marRight w:val="0"/>
          <w:marTop w:val="0"/>
          <w:marBottom w:val="0"/>
          <w:divBdr>
            <w:top w:val="none" w:sz="0" w:space="0" w:color="auto"/>
            <w:left w:val="none" w:sz="0" w:space="0" w:color="auto"/>
            <w:bottom w:val="none" w:sz="0" w:space="0" w:color="auto"/>
            <w:right w:val="none" w:sz="0" w:space="0" w:color="auto"/>
          </w:divBdr>
        </w:div>
        <w:div w:id="425268199">
          <w:marLeft w:val="0"/>
          <w:marRight w:val="0"/>
          <w:marTop w:val="0"/>
          <w:marBottom w:val="0"/>
          <w:divBdr>
            <w:top w:val="none" w:sz="0" w:space="0" w:color="auto"/>
            <w:left w:val="none" w:sz="0" w:space="0" w:color="auto"/>
            <w:bottom w:val="none" w:sz="0" w:space="0" w:color="auto"/>
            <w:right w:val="none" w:sz="0" w:space="0" w:color="auto"/>
          </w:divBdr>
        </w:div>
        <w:div w:id="569660810">
          <w:marLeft w:val="0"/>
          <w:marRight w:val="0"/>
          <w:marTop w:val="0"/>
          <w:marBottom w:val="0"/>
          <w:divBdr>
            <w:top w:val="none" w:sz="0" w:space="0" w:color="auto"/>
            <w:left w:val="none" w:sz="0" w:space="0" w:color="auto"/>
            <w:bottom w:val="none" w:sz="0" w:space="0" w:color="auto"/>
            <w:right w:val="none" w:sz="0" w:space="0" w:color="auto"/>
          </w:divBdr>
        </w:div>
        <w:div w:id="636377501">
          <w:marLeft w:val="0"/>
          <w:marRight w:val="0"/>
          <w:marTop w:val="0"/>
          <w:marBottom w:val="0"/>
          <w:divBdr>
            <w:top w:val="none" w:sz="0" w:space="0" w:color="auto"/>
            <w:left w:val="none" w:sz="0" w:space="0" w:color="auto"/>
            <w:bottom w:val="none" w:sz="0" w:space="0" w:color="auto"/>
            <w:right w:val="none" w:sz="0" w:space="0" w:color="auto"/>
          </w:divBdr>
        </w:div>
        <w:div w:id="1043402330">
          <w:marLeft w:val="0"/>
          <w:marRight w:val="0"/>
          <w:marTop w:val="0"/>
          <w:marBottom w:val="0"/>
          <w:divBdr>
            <w:top w:val="none" w:sz="0" w:space="0" w:color="auto"/>
            <w:left w:val="none" w:sz="0" w:space="0" w:color="auto"/>
            <w:bottom w:val="none" w:sz="0" w:space="0" w:color="auto"/>
            <w:right w:val="none" w:sz="0" w:space="0" w:color="auto"/>
          </w:divBdr>
        </w:div>
        <w:div w:id="2087026367">
          <w:marLeft w:val="0"/>
          <w:marRight w:val="0"/>
          <w:marTop w:val="0"/>
          <w:marBottom w:val="0"/>
          <w:divBdr>
            <w:top w:val="none" w:sz="0" w:space="0" w:color="auto"/>
            <w:left w:val="none" w:sz="0" w:space="0" w:color="auto"/>
            <w:bottom w:val="none" w:sz="0" w:space="0" w:color="auto"/>
            <w:right w:val="none" w:sz="0" w:space="0" w:color="auto"/>
          </w:divBdr>
        </w:div>
      </w:divsChild>
    </w:div>
    <w:div w:id="591280510">
      <w:bodyDiv w:val="1"/>
      <w:marLeft w:val="0"/>
      <w:marRight w:val="0"/>
      <w:marTop w:val="0"/>
      <w:marBottom w:val="0"/>
      <w:divBdr>
        <w:top w:val="none" w:sz="0" w:space="0" w:color="auto"/>
        <w:left w:val="none" w:sz="0" w:space="0" w:color="auto"/>
        <w:bottom w:val="none" w:sz="0" w:space="0" w:color="auto"/>
        <w:right w:val="none" w:sz="0" w:space="0" w:color="auto"/>
      </w:divBdr>
    </w:div>
    <w:div w:id="597906935">
      <w:bodyDiv w:val="1"/>
      <w:marLeft w:val="0"/>
      <w:marRight w:val="0"/>
      <w:marTop w:val="0"/>
      <w:marBottom w:val="0"/>
      <w:divBdr>
        <w:top w:val="none" w:sz="0" w:space="0" w:color="auto"/>
        <w:left w:val="none" w:sz="0" w:space="0" w:color="auto"/>
        <w:bottom w:val="none" w:sz="0" w:space="0" w:color="auto"/>
        <w:right w:val="none" w:sz="0" w:space="0" w:color="auto"/>
      </w:divBdr>
    </w:div>
    <w:div w:id="622613339">
      <w:bodyDiv w:val="1"/>
      <w:marLeft w:val="0"/>
      <w:marRight w:val="0"/>
      <w:marTop w:val="0"/>
      <w:marBottom w:val="0"/>
      <w:divBdr>
        <w:top w:val="none" w:sz="0" w:space="0" w:color="auto"/>
        <w:left w:val="none" w:sz="0" w:space="0" w:color="auto"/>
        <w:bottom w:val="none" w:sz="0" w:space="0" w:color="auto"/>
        <w:right w:val="none" w:sz="0" w:space="0" w:color="auto"/>
      </w:divBdr>
      <w:divsChild>
        <w:div w:id="12189715">
          <w:marLeft w:val="0"/>
          <w:marRight w:val="0"/>
          <w:marTop w:val="0"/>
          <w:marBottom w:val="0"/>
          <w:divBdr>
            <w:top w:val="none" w:sz="0" w:space="0" w:color="auto"/>
            <w:left w:val="none" w:sz="0" w:space="0" w:color="auto"/>
            <w:bottom w:val="none" w:sz="0" w:space="0" w:color="auto"/>
            <w:right w:val="none" w:sz="0" w:space="0" w:color="auto"/>
          </w:divBdr>
        </w:div>
        <w:div w:id="134299895">
          <w:marLeft w:val="0"/>
          <w:marRight w:val="0"/>
          <w:marTop w:val="0"/>
          <w:marBottom w:val="0"/>
          <w:divBdr>
            <w:top w:val="none" w:sz="0" w:space="0" w:color="auto"/>
            <w:left w:val="none" w:sz="0" w:space="0" w:color="auto"/>
            <w:bottom w:val="none" w:sz="0" w:space="0" w:color="auto"/>
            <w:right w:val="none" w:sz="0" w:space="0" w:color="auto"/>
          </w:divBdr>
        </w:div>
        <w:div w:id="547839119">
          <w:marLeft w:val="0"/>
          <w:marRight w:val="0"/>
          <w:marTop w:val="0"/>
          <w:marBottom w:val="0"/>
          <w:divBdr>
            <w:top w:val="none" w:sz="0" w:space="0" w:color="auto"/>
            <w:left w:val="none" w:sz="0" w:space="0" w:color="auto"/>
            <w:bottom w:val="none" w:sz="0" w:space="0" w:color="auto"/>
            <w:right w:val="none" w:sz="0" w:space="0" w:color="auto"/>
          </w:divBdr>
        </w:div>
        <w:div w:id="1479299070">
          <w:marLeft w:val="0"/>
          <w:marRight w:val="0"/>
          <w:marTop w:val="0"/>
          <w:marBottom w:val="0"/>
          <w:divBdr>
            <w:top w:val="none" w:sz="0" w:space="0" w:color="auto"/>
            <w:left w:val="none" w:sz="0" w:space="0" w:color="auto"/>
            <w:bottom w:val="none" w:sz="0" w:space="0" w:color="auto"/>
            <w:right w:val="none" w:sz="0" w:space="0" w:color="auto"/>
          </w:divBdr>
        </w:div>
        <w:div w:id="1685790505">
          <w:marLeft w:val="0"/>
          <w:marRight w:val="0"/>
          <w:marTop w:val="0"/>
          <w:marBottom w:val="0"/>
          <w:divBdr>
            <w:top w:val="none" w:sz="0" w:space="0" w:color="auto"/>
            <w:left w:val="none" w:sz="0" w:space="0" w:color="auto"/>
            <w:bottom w:val="none" w:sz="0" w:space="0" w:color="auto"/>
            <w:right w:val="none" w:sz="0" w:space="0" w:color="auto"/>
          </w:divBdr>
        </w:div>
        <w:div w:id="1728184581">
          <w:marLeft w:val="0"/>
          <w:marRight w:val="0"/>
          <w:marTop w:val="0"/>
          <w:marBottom w:val="0"/>
          <w:divBdr>
            <w:top w:val="none" w:sz="0" w:space="0" w:color="auto"/>
            <w:left w:val="none" w:sz="0" w:space="0" w:color="auto"/>
            <w:bottom w:val="none" w:sz="0" w:space="0" w:color="auto"/>
            <w:right w:val="none" w:sz="0" w:space="0" w:color="auto"/>
          </w:divBdr>
        </w:div>
        <w:div w:id="1836997537">
          <w:marLeft w:val="0"/>
          <w:marRight w:val="0"/>
          <w:marTop w:val="0"/>
          <w:marBottom w:val="0"/>
          <w:divBdr>
            <w:top w:val="none" w:sz="0" w:space="0" w:color="auto"/>
            <w:left w:val="none" w:sz="0" w:space="0" w:color="auto"/>
            <w:bottom w:val="none" w:sz="0" w:space="0" w:color="auto"/>
            <w:right w:val="none" w:sz="0" w:space="0" w:color="auto"/>
          </w:divBdr>
        </w:div>
        <w:div w:id="1934313148">
          <w:marLeft w:val="0"/>
          <w:marRight w:val="0"/>
          <w:marTop w:val="0"/>
          <w:marBottom w:val="0"/>
          <w:divBdr>
            <w:top w:val="none" w:sz="0" w:space="0" w:color="auto"/>
            <w:left w:val="none" w:sz="0" w:space="0" w:color="auto"/>
            <w:bottom w:val="none" w:sz="0" w:space="0" w:color="auto"/>
            <w:right w:val="none" w:sz="0" w:space="0" w:color="auto"/>
          </w:divBdr>
        </w:div>
      </w:divsChild>
    </w:div>
    <w:div w:id="645857935">
      <w:bodyDiv w:val="1"/>
      <w:marLeft w:val="0"/>
      <w:marRight w:val="0"/>
      <w:marTop w:val="0"/>
      <w:marBottom w:val="0"/>
      <w:divBdr>
        <w:top w:val="none" w:sz="0" w:space="0" w:color="auto"/>
        <w:left w:val="none" w:sz="0" w:space="0" w:color="auto"/>
        <w:bottom w:val="none" w:sz="0" w:space="0" w:color="auto"/>
        <w:right w:val="none" w:sz="0" w:space="0" w:color="auto"/>
      </w:divBdr>
    </w:div>
    <w:div w:id="663899082">
      <w:bodyDiv w:val="1"/>
      <w:marLeft w:val="0"/>
      <w:marRight w:val="0"/>
      <w:marTop w:val="0"/>
      <w:marBottom w:val="0"/>
      <w:divBdr>
        <w:top w:val="none" w:sz="0" w:space="0" w:color="auto"/>
        <w:left w:val="none" w:sz="0" w:space="0" w:color="auto"/>
        <w:bottom w:val="none" w:sz="0" w:space="0" w:color="auto"/>
        <w:right w:val="none" w:sz="0" w:space="0" w:color="auto"/>
      </w:divBdr>
    </w:div>
    <w:div w:id="685448927">
      <w:bodyDiv w:val="1"/>
      <w:marLeft w:val="0"/>
      <w:marRight w:val="0"/>
      <w:marTop w:val="0"/>
      <w:marBottom w:val="0"/>
      <w:divBdr>
        <w:top w:val="none" w:sz="0" w:space="0" w:color="auto"/>
        <w:left w:val="none" w:sz="0" w:space="0" w:color="auto"/>
        <w:bottom w:val="none" w:sz="0" w:space="0" w:color="auto"/>
        <w:right w:val="none" w:sz="0" w:space="0" w:color="auto"/>
      </w:divBdr>
    </w:div>
    <w:div w:id="705909929">
      <w:bodyDiv w:val="1"/>
      <w:marLeft w:val="0"/>
      <w:marRight w:val="0"/>
      <w:marTop w:val="0"/>
      <w:marBottom w:val="0"/>
      <w:divBdr>
        <w:top w:val="none" w:sz="0" w:space="0" w:color="auto"/>
        <w:left w:val="none" w:sz="0" w:space="0" w:color="auto"/>
        <w:bottom w:val="none" w:sz="0" w:space="0" w:color="auto"/>
        <w:right w:val="none" w:sz="0" w:space="0" w:color="auto"/>
      </w:divBdr>
    </w:div>
    <w:div w:id="747457001">
      <w:bodyDiv w:val="1"/>
      <w:marLeft w:val="0"/>
      <w:marRight w:val="0"/>
      <w:marTop w:val="0"/>
      <w:marBottom w:val="0"/>
      <w:divBdr>
        <w:top w:val="none" w:sz="0" w:space="0" w:color="auto"/>
        <w:left w:val="none" w:sz="0" w:space="0" w:color="auto"/>
        <w:bottom w:val="none" w:sz="0" w:space="0" w:color="auto"/>
        <w:right w:val="none" w:sz="0" w:space="0" w:color="auto"/>
      </w:divBdr>
    </w:div>
    <w:div w:id="781462993">
      <w:bodyDiv w:val="1"/>
      <w:marLeft w:val="0"/>
      <w:marRight w:val="0"/>
      <w:marTop w:val="0"/>
      <w:marBottom w:val="0"/>
      <w:divBdr>
        <w:top w:val="none" w:sz="0" w:space="0" w:color="auto"/>
        <w:left w:val="none" w:sz="0" w:space="0" w:color="auto"/>
        <w:bottom w:val="none" w:sz="0" w:space="0" w:color="auto"/>
        <w:right w:val="none" w:sz="0" w:space="0" w:color="auto"/>
      </w:divBdr>
    </w:div>
    <w:div w:id="785927385">
      <w:bodyDiv w:val="1"/>
      <w:marLeft w:val="0"/>
      <w:marRight w:val="0"/>
      <w:marTop w:val="0"/>
      <w:marBottom w:val="0"/>
      <w:divBdr>
        <w:top w:val="none" w:sz="0" w:space="0" w:color="auto"/>
        <w:left w:val="none" w:sz="0" w:space="0" w:color="auto"/>
        <w:bottom w:val="none" w:sz="0" w:space="0" w:color="auto"/>
        <w:right w:val="none" w:sz="0" w:space="0" w:color="auto"/>
      </w:divBdr>
    </w:div>
    <w:div w:id="786657616">
      <w:bodyDiv w:val="1"/>
      <w:marLeft w:val="0"/>
      <w:marRight w:val="0"/>
      <w:marTop w:val="0"/>
      <w:marBottom w:val="0"/>
      <w:divBdr>
        <w:top w:val="none" w:sz="0" w:space="0" w:color="auto"/>
        <w:left w:val="none" w:sz="0" w:space="0" w:color="auto"/>
        <w:bottom w:val="none" w:sz="0" w:space="0" w:color="auto"/>
        <w:right w:val="none" w:sz="0" w:space="0" w:color="auto"/>
      </w:divBdr>
    </w:div>
    <w:div w:id="792939512">
      <w:bodyDiv w:val="1"/>
      <w:marLeft w:val="0"/>
      <w:marRight w:val="0"/>
      <w:marTop w:val="0"/>
      <w:marBottom w:val="0"/>
      <w:divBdr>
        <w:top w:val="none" w:sz="0" w:space="0" w:color="auto"/>
        <w:left w:val="none" w:sz="0" w:space="0" w:color="auto"/>
        <w:bottom w:val="none" w:sz="0" w:space="0" w:color="auto"/>
        <w:right w:val="none" w:sz="0" w:space="0" w:color="auto"/>
      </w:divBdr>
    </w:div>
    <w:div w:id="839924756">
      <w:bodyDiv w:val="1"/>
      <w:marLeft w:val="0"/>
      <w:marRight w:val="0"/>
      <w:marTop w:val="0"/>
      <w:marBottom w:val="0"/>
      <w:divBdr>
        <w:top w:val="none" w:sz="0" w:space="0" w:color="auto"/>
        <w:left w:val="none" w:sz="0" w:space="0" w:color="auto"/>
        <w:bottom w:val="none" w:sz="0" w:space="0" w:color="auto"/>
        <w:right w:val="none" w:sz="0" w:space="0" w:color="auto"/>
      </w:divBdr>
    </w:div>
    <w:div w:id="917792743">
      <w:bodyDiv w:val="1"/>
      <w:marLeft w:val="0"/>
      <w:marRight w:val="0"/>
      <w:marTop w:val="0"/>
      <w:marBottom w:val="0"/>
      <w:divBdr>
        <w:top w:val="none" w:sz="0" w:space="0" w:color="auto"/>
        <w:left w:val="none" w:sz="0" w:space="0" w:color="auto"/>
        <w:bottom w:val="none" w:sz="0" w:space="0" w:color="auto"/>
        <w:right w:val="none" w:sz="0" w:space="0" w:color="auto"/>
      </w:divBdr>
    </w:div>
    <w:div w:id="930511758">
      <w:bodyDiv w:val="1"/>
      <w:marLeft w:val="0"/>
      <w:marRight w:val="0"/>
      <w:marTop w:val="0"/>
      <w:marBottom w:val="0"/>
      <w:divBdr>
        <w:top w:val="none" w:sz="0" w:space="0" w:color="auto"/>
        <w:left w:val="none" w:sz="0" w:space="0" w:color="auto"/>
        <w:bottom w:val="none" w:sz="0" w:space="0" w:color="auto"/>
        <w:right w:val="none" w:sz="0" w:space="0" w:color="auto"/>
      </w:divBdr>
    </w:div>
    <w:div w:id="984966167">
      <w:bodyDiv w:val="1"/>
      <w:marLeft w:val="0"/>
      <w:marRight w:val="0"/>
      <w:marTop w:val="0"/>
      <w:marBottom w:val="0"/>
      <w:divBdr>
        <w:top w:val="none" w:sz="0" w:space="0" w:color="auto"/>
        <w:left w:val="none" w:sz="0" w:space="0" w:color="auto"/>
        <w:bottom w:val="none" w:sz="0" w:space="0" w:color="auto"/>
        <w:right w:val="none" w:sz="0" w:space="0" w:color="auto"/>
      </w:divBdr>
    </w:div>
    <w:div w:id="1054162274">
      <w:bodyDiv w:val="1"/>
      <w:marLeft w:val="0"/>
      <w:marRight w:val="0"/>
      <w:marTop w:val="0"/>
      <w:marBottom w:val="0"/>
      <w:divBdr>
        <w:top w:val="none" w:sz="0" w:space="0" w:color="auto"/>
        <w:left w:val="none" w:sz="0" w:space="0" w:color="auto"/>
        <w:bottom w:val="none" w:sz="0" w:space="0" w:color="auto"/>
        <w:right w:val="none" w:sz="0" w:space="0" w:color="auto"/>
      </w:divBdr>
    </w:div>
    <w:div w:id="1092167390">
      <w:bodyDiv w:val="1"/>
      <w:marLeft w:val="0"/>
      <w:marRight w:val="0"/>
      <w:marTop w:val="0"/>
      <w:marBottom w:val="0"/>
      <w:divBdr>
        <w:top w:val="none" w:sz="0" w:space="0" w:color="auto"/>
        <w:left w:val="none" w:sz="0" w:space="0" w:color="auto"/>
        <w:bottom w:val="none" w:sz="0" w:space="0" w:color="auto"/>
        <w:right w:val="none" w:sz="0" w:space="0" w:color="auto"/>
      </w:divBdr>
    </w:div>
    <w:div w:id="1094285169">
      <w:bodyDiv w:val="1"/>
      <w:marLeft w:val="0"/>
      <w:marRight w:val="0"/>
      <w:marTop w:val="0"/>
      <w:marBottom w:val="0"/>
      <w:divBdr>
        <w:top w:val="none" w:sz="0" w:space="0" w:color="auto"/>
        <w:left w:val="none" w:sz="0" w:space="0" w:color="auto"/>
        <w:bottom w:val="none" w:sz="0" w:space="0" w:color="auto"/>
        <w:right w:val="none" w:sz="0" w:space="0" w:color="auto"/>
      </w:divBdr>
    </w:div>
    <w:div w:id="1128861114">
      <w:bodyDiv w:val="1"/>
      <w:marLeft w:val="0"/>
      <w:marRight w:val="0"/>
      <w:marTop w:val="0"/>
      <w:marBottom w:val="0"/>
      <w:divBdr>
        <w:top w:val="none" w:sz="0" w:space="0" w:color="auto"/>
        <w:left w:val="none" w:sz="0" w:space="0" w:color="auto"/>
        <w:bottom w:val="none" w:sz="0" w:space="0" w:color="auto"/>
        <w:right w:val="none" w:sz="0" w:space="0" w:color="auto"/>
      </w:divBdr>
    </w:div>
    <w:div w:id="1130368502">
      <w:bodyDiv w:val="1"/>
      <w:marLeft w:val="0"/>
      <w:marRight w:val="0"/>
      <w:marTop w:val="0"/>
      <w:marBottom w:val="0"/>
      <w:divBdr>
        <w:top w:val="none" w:sz="0" w:space="0" w:color="auto"/>
        <w:left w:val="none" w:sz="0" w:space="0" w:color="auto"/>
        <w:bottom w:val="none" w:sz="0" w:space="0" w:color="auto"/>
        <w:right w:val="none" w:sz="0" w:space="0" w:color="auto"/>
      </w:divBdr>
    </w:div>
    <w:div w:id="1152482632">
      <w:bodyDiv w:val="1"/>
      <w:marLeft w:val="0"/>
      <w:marRight w:val="0"/>
      <w:marTop w:val="0"/>
      <w:marBottom w:val="0"/>
      <w:divBdr>
        <w:top w:val="none" w:sz="0" w:space="0" w:color="auto"/>
        <w:left w:val="none" w:sz="0" w:space="0" w:color="auto"/>
        <w:bottom w:val="none" w:sz="0" w:space="0" w:color="auto"/>
        <w:right w:val="none" w:sz="0" w:space="0" w:color="auto"/>
      </w:divBdr>
    </w:div>
    <w:div w:id="1184829794">
      <w:bodyDiv w:val="1"/>
      <w:marLeft w:val="0"/>
      <w:marRight w:val="0"/>
      <w:marTop w:val="0"/>
      <w:marBottom w:val="0"/>
      <w:divBdr>
        <w:top w:val="none" w:sz="0" w:space="0" w:color="auto"/>
        <w:left w:val="none" w:sz="0" w:space="0" w:color="auto"/>
        <w:bottom w:val="none" w:sz="0" w:space="0" w:color="auto"/>
        <w:right w:val="none" w:sz="0" w:space="0" w:color="auto"/>
      </w:divBdr>
    </w:div>
    <w:div w:id="1208755850">
      <w:bodyDiv w:val="1"/>
      <w:marLeft w:val="0"/>
      <w:marRight w:val="0"/>
      <w:marTop w:val="0"/>
      <w:marBottom w:val="0"/>
      <w:divBdr>
        <w:top w:val="none" w:sz="0" w:space="0" w:color="auto"/>
        <w:left w:val="none" w:sz="0" w:space="0" w:color="auto"/>
        <w:bottom w:val="none" w:sz="0" w:space="0" w:color="auto"/>
        <w:right w:val="none" w:sz="0" w:space="0" w:color="auto"/>
      </w:divBdr>
    </w:div>
    <w:div w:id="1210410864">
      <w:bodyDiv w:val="1"/>
      <w:marLeft w:val="0"/>
      <w:marRight w:val="0"/>
      <w:marTop w:val="0"/>
      <w:marBottom w:val="0"/>
      <w:divBdr>
        <w:top w:val="none" w:sz="0" w:space="0" w:color="auto"/>
        <w:left w:val="none" w:sz="0" w:space="0" w:color="auto"/>
        <w:bottom w:val="none" w:sz="0" w:space="0" w:color="auto"/>
        <w:right w:val="none" w:sz="0" w:space="0" w:color="auto"/>
      </w:divBdr>
    </w:div>
    <w:div w:id="1213804799">
      <w:bodyDiv w:val="1"/>
      <w:marLeft w:val="0"/>
      <w:marRight w:val="0"/>
      <w:marTop w:val="0"/>
      <w:marBottom w:val="0"/>
      <w:divBdr>
        <w:top w:val="none" w:sz="0" w:space="0" w:color="auto"/>
        <w:left w:val="none" w:sz="0" w:space="0" w:color="auto"/>
        <w:bottom w:val="none" w:sz="0" w:space="0" w:color="auto"/>
        <w:right w:val="none" w:sz="0" w:space="0" w:color="auto"/>
      </w:divBdr>
    </w:div>
    <w:div w:id="1237594250">
      <w:bodyDiv w:val="1"/>
      <w:marLeft w:val="0"/>
      <w:marRight w:val="0"/>
      <w:marTop w:val="0"/>
      <w:marBottom w:val="0"/>
      <w:divBdr>
        <w:top w:val="none" w:sz="0" w:space="0" w:color="auto"/>
        <w:left w:val="none" w:sz="0" w:space="0" w:color="auto"/>
        <w:bottom w:val="none" w:sz="0" w:space="0" w:color="auto"/>
        <w:right w:val="none" w:sz="0" w:space="0" w:color="auto"/>
      </w:divBdr>
    </w:div>
    <w:div w:id="1247423588">
      <w:bodyDiv w:val="1"/>
      <w:marLeft w:val="0"/>
      <w:marRight w:val="0"/>
      <w:marTop w:val="0"/>
      <w:marBottom w:val="0"/>
      <w:divBdr>
        <w:top w:val="none" w:sz="0" w:space="0" w:color="auto"/>
        <w:left w:val="none" w:sz="0" w:space="0" w:color="auto"/>
        <w:bottom w:val="none" w:sz="0" w:space="0" w:color="auto"/>
        <w:right w:val="none" w:sz="0" w:space="0" w:color="auto"/>
      </w:divBdr>
      <w:divsChild>
        <w:div w:id="684792257">
          <w:marLeft w:val="0"/>
          <w:marRight w:val="0"/>
          <w:marTop w:val="0"/>
          <w:marBottom w:val="0"/>
          <w:divBdr>
            <w:top w:val="none" w:sz="0" w:space="0" w:color="auto"/>
            <w:left w:val="none" w:sz="0" w:space="0" w:color="auto"/>
            <w:bottom w:val="none" w:sz="0" w:space="0" w:color="auto"/>
            <w:right w:val="none" w:sz="0" w:space="0" w:color="auto"/>
          </w:divBdr>
          <w:divsChild>
            <w:div w:id="347754563">
              <w:marLeft w:val="0"/>
              <w:marRight w:val="0"/>
              <w:marTop w:val="0"/>
              <w:marBottom w:val="0"/>
              <w:divBdr>
                <w:top w:val="none" w:sz="0" w:space="0" w:color="auto"/>
                <w:left w:val="none" w:sz="0" w:space="0" w:color="auto"/>
                <w:bottom w:val="none" w:sz="0" w:space="0" w:color="auto"/>
                <w:right w:val="none" w:sz="0" w:space="0" w:color="auto"/>
              </w:divBdr>
              <w:divsChild>
                <w:div w:id="591662842">
                  <w:marLeft w:val="0"/>
                  <w:marRight w:val="0"/>
                  <w:marTop w:val="0"/>
                  <w:marBottom w:val="0"/>
                  <w:divBdr>
                    <w:top w:val="none" w:sz="0" w:space="0" w:color="auto"/>
                    <w:left w:val="none" w:sz="0" w:space="0" w:color="auto"/>
                    <w:bottom w:val="none" w:sz="0" w:space="0" w:color="auto"/>
                    <w:right w:val="none" w:sz="0" w:space="0" w:color="auto"/>
                  </w:divBdr>
                  <w:divsChild>
                    <w:div w:id="5635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8380">
          <w:marLeft w:val="0"/>
          <w:marRight w:val="0"/>
          <w:marTop w:val="0"/>
          <w:marBottom w:val="0"/>
          <w:divBdr>
            <w:top w:val="none" w:sz="0" w:space="0" w:color="auto"/>
            <w:left w:val="none" w:sz="0" w:space="0" w:color="auto"/>
            <w:bottom w:val="none" w:sz="0" w:space="0" w:color="auto"/>
            <w:right w:val="none" w:sz="0" w:space="0" w:color="auto"/>
          </w:divBdr>
          <w:divsChild>
            <w:div w:id="358316377">
              <w:marLeft w:val="0"/>
              <w:marRight w:val="0"/>
              <w:marTop w:val="60"/>
              <w:marBottom w:val="60"/>
              <w:divBdr>
                <w:top w:val="none" w:sz="0" w:space="0" w:color="auto"/>
                <w:left w:val="none" w:sz="0" w:space="0" w:color="auto"/>
                <w:bottom w:val="none" w:sz="0" w:space="0" w:color="auto"/>
                <w:right w:val="none" w:sz="0" w:space="0" w:color="auto"/>
              </w:divBdr>
              <w:divsChild>
                <w:div w:id="1065566506">
                  <w:marLeft w:val="0"/>
                  <w:marRight w:val="0"/>
                  <w:marTop w:val="0"/>
                  <w:marBottom w:val="0"/>
                  <w:divBdr>
                    <w:top w:val="none" w:sz="0" w:space="0" w:color="auto"/>
                    <w:left w:val="none" w:sz="0" w:space="0" w:color="auto"/>
                    <w:bottom w:val="none" w:sz="0" w:space="0" w:color="auto"/>
                    <w:right w:val="none" w:sz="0" w:space="0" w:color="auto"/>
                  </w:divBdr>
                  <w:divsChild>
                    <w:div w:id="1722904063">
                      <w:marLeft w:val="0"/>
                      <w:marRight w:val="0"/>
                      <w:marTop w:val="0"/>
                      <w:marBottom w:val="0"/>
                      <w:divBdr>
                        <w:top w:val="none" w:sz="0" w:space="0" w:color="auto"/>
                        <w:left w:val="none" w:sz="0" w:space="0" w:color="auto"/>
                        <w:bottom w:val="none" w:sz="0" w:space="0" w:color="auto"/>
                        <w:right w:val="none" w:sz="0" w:space="0" w:color="auto"/>
                      </w:divBdr>
                      <w:divsChild>
                        <w:div w:id="1481188217">
                          <w:marLeft w:val="0"/>
                          <w:marRight w:val="0"/>
                          <w:marTop w:val="0"/>
                          <w:marBottom w:val="0"/>
                          <w:divBdr>
                            <w:top w:val="none" w:sz="0" w:space="0" w:color="auto"/>
                            <w:left w:val="none" w:sz="0" w:space="0" w:color="auto"/>
                            <w:bottom w:val="none" w:sz="0" w:space="0" w:color="auto"/>
                            <w:right w:val="none" w:sz="0" w:space="0" w:color="auto"/>
                          </w:divBdr>
                          <w:divsChild>
                            <w:div w:id="1103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377337">
      <w:bodyDiv w:val="1"/>
      <w:marLeft w:val="0"/>
      <w:marRight w:val="0"/>
      <w:marTop w:val="0"/>
      <w:marBottom w:val="0"/>
      <w:divBdr>
        <w:top w:val="none" w:sz="0" w:space="0" w:color="auto"/>
        <w:left w:val="none" w:sz="0" w:space="0" w:color="auto"/>
        <w:bottom w:val="none" w:sz="0" w:space="0" w:color="auto"/>
        <w:right w:val="none" w:sz="0" w:space="0" w:color="auto"/>
      </w:divBdr>
    </w:div>
    <w:div w:id="1270044417">
      <w:bodyDiv w:val="1"/>
      <w:marLeft w:val="0"/>
      <w:marRight w:val="0"/>
      <w:marTop w:val="0"/>
      <w:marBottom w:val="0"/>
      <w:divBdr>
        <w:top w:val="none" w:sz="0" w:space="0" w:color="auto"/>
        <w:left w:val="none" w:sz="0" w:space="0" w:color="auto"/>
        <w:bottom w:val="none" w:sz="0" w:space="0" w:color="auto"/>
        <w:right w:val="none" w:sz="0" w:space="0" w:color="auto"/>
      </w:divBdr>
      <w:divsChild>
        <w:div w:id="1891577302">
          <w:marLeft w:val="0"/>
          <w:marRight w:val="0"/>
          <w:marTop w:val="0"/>
          <w:marBottom w:val="0"/>
          <w:divBdr>
            <w:top w:val="none" w:sz="0" w:space="0" w:color="auto"/>
            <w:left w:val="none" w:sz="0" w:space="0" w:color="auto"/>
            <w:bottom w:val="none" w:sz="0" w:space="0" w:color="auto"/>
            <w:right w:val="none" w:sz="0" w:space="0" w:color="auto"/>
          </w:divBdr>
          <w:divsChild>
            <w:div w:id="1039353123">
              <w:marLeft w:val="0"/>
              <w:marRight w:val="0"/>
              <w:marTop w:val="0"/>
              <w:marBottom w:val="0"/>
              <w:divBdr>
                <w:top w:val="none" w:sz="0" w:space="0" w:color="auto"/>
                <w:left w:val="none" w:sz="0" w:space="0" w:color="auto"/>
                <w:bottom w:val="none" w:sz="0" w:space="0" w:color="auto"/>
                <w:right w:val="none" w:sz="0" w:space="0" w:color="auto"/>
              </w:divBdr>
              <w:divsChild>
                <w:div w:id="844788032">
                  <w:marLeft w:val="0"/>
                  <w:marRight w:val="0"/>
                  <w:marTop w:val="0"/>
                  <w:marBottom w:val="0"/>
                  <w:divBdr>
                    <w:top w:val="none" w:sz="0" w:space="0" w:color="auto"/>
                    <w:left w:val="none" w:sz="0" w:space="0" w:color="auto"/>
                    <w:bottom w:val="none" w:sz="0" w:space="0" w:color="auto"/>
                    <w:right w:val="none" w:sz="0" w:space="0" w:color="auto"/>
                  </w:divBdr>
                  <w:divsChild>
                    <w:div w:id="16123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87790">
          <w:marLeft w:val="0"/>
          <w:marRight w:val="0"/>
          <w:marTop w:val="0"/>
          <w:marBottom w:val="0"/>
          <w:divBdr>
            <w:top w:val="none" w:sz="0" w:space="0" w:color="auto"/>
            <w:left w:val="none" w:sz="0" w:space="0" w:color="auto"/>
            <w:bottom w:val="none" w:sz="0" w:space="0" w:color="auto"/>
            <w:right w:val="none" w:sz="0" w:space="0" w:color="auto"/>
          </w:divBdr>
          <w:divsChild>
            <w:div w:id="446394233">
              <w:marLeft w:val="0"/>
              <w:marRight w:val="0"/>
              <w:marTop w:val="60"/>
              <w:marBottom w:val="60"/>
              <w:divBdr>
                <w:top w:val="none" w:sz="0" w:space="0" w:color="auto"/>
                <w:left w:val="none" w:sz="0" w:space="0" w:color="auto"/>
                <w:bottom w:val="none" w:sz="0" w:space="0" w:color="auto"/>
                <w:right w:val="none" w:sz="0" w:space="0" w:color="auto"/>
              </w:divBdr>
              <w:divsChild>
                <w:div w:id="525555922">
                  <w:marLeft w:val="0"/>
                  <w:marRight w:val="0"/>
                  <w:marTop w:val="0"/>
                  <w:marBottom w:val="0"/>
                  <w:divBdr>
                    <w:top w:val="none" w:sz="0" w:space="0" w:color="auto"/>
                    <w:left w:val="none" w:sz="0" w:space="0" w:color="auto"/>
                    <w:bottom w:val="none" w:sz="0" w:space="0" w:color="auto"/>
                    <w:right w:val="none" w:sz="0" w:space="0" w:color="auto"/>
                  </w:divBdr>
                  <w:divsChild>
                    <w:div w:id="8718836">
                      <w:marLeft w:val="0"/>
                      <w:marRight w:val="0"/>
                      <w:marTop w:val="0"/>
                      <w:marBottom w:val="0"/>
                      <w:divBdr>
                        <w:top w:val="none" w:sz="0" w:space="0" w:color="auto"/>
                        <w:left w:val="none" w:sz="0" w:space="0" w:color="auto"/>
                        <w:bottom w:val="none" w:sz="0" w:space="0" w:color="auto"/>
                        <w:right w:val="none" w:sz="0" w:space="0" w:color="auto"/>
                      </w:divBdr>
                      <w:divsChild>
                        <w:div w:id="1512647016">
                          <w:marLeft w:val="0"/>
                          <w:marRight w:val="0"/>
                          <w:marTop w:val="0"/>
                          <w:marBottom w:val="0"/>
                          <w:divBdr>
                            <w:top w:val="none" w:sz="0" w:space="0" w:color="auto"/>
                            <w:left w:val="none" w:sz="0" w:space="0" w:color="auto"/>
                            <w:bottom w:val="none" w:sz="0" w:space="0" w:color="auto"/>
                            <w:right w:val="none" w:sz="0" w:space="0" w:color="auto"/>
                          </w:divBdr>
                          <w:divsChild>
                            <w:div w:id="23023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037068">
      <w:bodyDiv w:val="1"/>
      <w:marLeft w:val="0"/>
      <w:marRight w:val="0"/>
      <w:marTop w:val="0"/>
      <w:marBottom w:val="0"/>
      <w:divBdr>
        <w:top w:val="none" w:sz="0" w:space="0" w:color="auto"/>
        <w:left w:val="none" w:sz="0" w:space="0" w:color="auto"/>
        <w:bottom w:val="none" w:sz="0" w:space="0" w:color="auto"/>
        <w:right w:val="none" w:sz="0" w:space="0" w:color="auto"/>
      </w:divBdr>
    </w:div>
    <w:div w:id="1291982153">
      <w:bodyDiv w:val="1"/>
      <w:marLeft w:val="0"/>
      <w:marRight w:val="0"/>
      <w:marTop w:val="0"/>
      <w:marBottom w:val="0"/>
      <w:divBdr>
        <w:top w:val="none" w:sz="0" w:space="0" w:color="auto"/>
        <w:left w:val="none" w:sz="0" w:space="0" w:color="auto"/>
        <w:bottom w:val="none" w:sz="0" w:space="0" w:color="auto"/>
        <w:right w:val="none" w:sz="0" w:space="0" w:color="auto"/>
      </w:divBdr>
    </w:div>
    <w:div w:id="1322277520">
      <w:bodyDiv w:val="1"/>
      <w:marLeft w:val="0"/>
      <w:marRight w:val="0"/>
      <w:marTop w:val="0"/>
      <w:marBottom w:val="0"/>
      <w:divBdr>
        <w:top w:val="none" w:sz="0" w:space="0" w:color="auto"/>
        <w:left w:val="none" w:sz="0" w:space="0" w:color="auto"/>
        <w:bottom w:val="none" w:sz="0" w:space="0" w:color="auto"/>
        <w:right w:val="none" w:sz="0" w:space="0" w:color="auto"/>
      </w:divBdr>
    </w:div>
    <w:div w:id="1335262390">
      <w:bodyDiv w:val="1"/>
      <w:marLeft w:val="0"/>
      <w:marRight w:val="0"/>
      <w:marTop w:val="0"/>
      <w:marBottom w:val="0"/>
      <w:divBdr>
        <w:top w:val="none" w:sz="0" w:space="0" w:color="auto"/>
        <w:left w:val="none" w:sz="0" w:space="0" w:color="auto"/>
        <w:bottom w:val="none" w:sz="0" w:space="0" w:color="auto"/>
        <w:right w:val="none" w:sz="0" w:space="0" w:color="auto"/>
      </w:divBdr>
    </w:div>
    <w:div w:id="1344017891">
      <w:bodyDiv w:val="1"/>
      <w:marLeft w:val="0"/>
      <w:marRight w:val="0"/>
      <w:marTop w:val="0"/>
      <w:marBottom w:val="0"/>
      <w:divBdr>
        <w:top w:val="none" w:sz="0" w:space="0" w:color="auto"/>
        <w:left w:val="none" w:sz="0" w:space="0" w:color="auto"/>
        <w:bottom w:val="none" w:sz="0" w:space="0" w:color="auto"/>
        <w:right w:val="none" w:sz="0" w:space="0" w:color="auto"/>
      </w:divBdr>
    </w:div>
    <w:div w:id="1374966714">
      <w:bodyDiv w:val="1"/>
      <w:marLeft w:val="0"/>
      <w:marRight w:val="0"/>
      <w:marTop w:val="0"/>
      <w:marBottom w:val="0"/>
      <w:divBdr>
        <w:top w:val="none" w:sz="0" w:space="0" w:color="auto"/>
        <w:left w:val="none" w:sz="0" w:space="0" w:color="auto"/>
        <w:bottom w:val="none" w:sz="0" w:space="0" w:color="auto"/>
        <w:right w:val="none" w:sz="0" w:space="0" w:color="auto"/>
      </w:divBdr>
    </w:div>
    <w:div w:id="1445996015">
      <w:bodyDiv w:val="1"/>
      <w:marLeft w:val="0"/>
      <w:marRight w:val="0"/>
      <w:marTop w:val="0"/>
      <w:marBottom w:val="0"/>
      <w:divBdr>
        <w:top w:val="none" w:sz="0" w:space="0" w:color="auto"/>
        <w:left w:val="none" w:sz="0" w:space="0" w:color="auto"/>
        <w:bottom w:val="none" w:sz="0" w:space="0" w:color="auto"/>
        <w:right w:val="none" w:sz="0" w:space="0" w:color="auto"/>
      </w:divBdr>
    </w:div>
    <w:div w:id="1454598092">
      <w:bodyDiv w:val="1"/>
      <w:marLeft w:val="0"/>
      <w:marRight w:val="0"/>
      <w:marTop w:val="0"/>
      <w:marBottom w:val="0"/>
      <w:divBdr>
        <w:top w:val="none" w:sz="0" w:space="0" w:color="auto"/>
        <w:left w:val="none" w:sz="0" w:space="0" w:color="auto"/>
        <w:bottom w:val="none" w:sz="0" w:space="0" w:color="auto"/>
        <w:right w:val="none" w:sz="0" w:space="0" w:color="auto"/>
      </w:divBdr>
    </w:div>
    <w:div w:id="1473668417">
      <w:bodyDiv w:val="1"/>
      <w:marLeft w:val="0"/>
      <w:marRight w:val="0"/>
      <w:marTop w:val="0"/>
      <w:marBottom w:val="0"/>
      <w:divBdr>
        <w:top w:val="none" w:sz="0" w:space="0" w:color="auto"/>
        <w:left w:val="none" w:sz="0" w:space="0" w:color="auto"/>
        <w:bottom w:val="none" w:sz="0" w:space="0" w:color="auto"/>
        <w:right w:val="none" w:sz="0" w:space="0" w:color="auto"/>
      </w:divBdr>
    </w:div>
    <w:div w:id="1474054952">
      <w:bodyDiv w:val="1"/>
      <w:marLeft w:val="0"/>
      <w:marRight w:val="0"/>
      <w:marTop w:val="0"/>
      <w:marBottom w:val="0"/>
      <w:divBdr>
        <w:top w:val="none" w:sz="0" w:space="0" w:color="auto"/>
        <w:left w:val="none" w:sz="0" w:space="0" w:color="auto"/>
        <w:bottom w:val="none" w:sz="0" w:space="0" w:color="auto"/>
        <w:right w:val="none" w:sz="0" w:space="0" w:color="auto"/>
      </w:divBdr>
    </w:div>
    <w:div w:id="1481342161">
      <w:bodyDiv w:val="1"/>
      <w:marLeft w:val="0"/>
      <w:marRight w:val="0"/>
      <w:marTop w:val="0"/>
      <w:marBottom w:val="0"/>
      <w:divBdr>
        <w:top w:val="none" w:sz="0" w:space="0" w:color="auto"/>
        <w:left w:val="none" w:sz="0" w:space="0" w:color="auto"/>
        <w:bottom w:val="none" w:sz="0" w:space="0" w:color="auto"/>
        <w:right w:val="none" w:sz="0" w:space="0" w:color="auto"/>
      </w:divBdr>
    </w:div>
    <w:div w:id="1486044592">
      <w:bodyDiv w:val="1"/>
      <w:marLeft w:val="0"/>
      <w:marRight w:val="0"/>
      <w:marTop w:val="0"/>
      <w:marBottom w:val="0"/>
      <w:divBdr>
        <w:top w:val="none" w:sz="0" w:space="0" w:color="auto"/>
        <w:left w:val="none" w:sz="0" w:space="0" w:color="auto"/>
        <w:bottom w:val="none" w:sz="0" w:space="0" w:color="auto"/>
        <w:right w:val="none" w:sz="0" w:space="0" w:color="auto"/>
      </w:divBdr>
    </w:div>
    <w:div w:id="1487042752">
      <w:bodyDiv w:val="1"/>
      <w:marLeft w:val="0"/>
      <w:marRight w:val="0"/>
      <w:marTop w:val="0"/>
      <w:marBottom w:val="0"/>
      <w:divBdr>
        <w:top w:val="none" w:sz="0" w:space="0" w:color="auto"/>
        <w:left w:val="none" w:sz="0" w:space="0" w:color="auto"/>
        <w:bottom w:val="none" w:sz="0" w:space="0" w:color="auto"/>
        <w:right w:val="none" w:sz="0" w:space="0" w:color="auto"/>
      </w:divBdr>
    </w:div>
    <w:div w:id="1489979041">
      <w:bodyDiv w:val="1"/>
      <w:marLeft w:val="0"/>
      <w:marRight w:val="0"/>
      <w:marTop w:val="0"/>
      <w:marBottom w:val="0"/>
      <w:divBdr>
        <w:top w:val="none" w:sz="0" w:space="0" w:color="auto"/>
        <w:left w:val="none" w:sz="0" w:space="0" w:color="auto"/>
        <w:bottom w:val="none" w:sz="0" w:space="0" w:color="auto"/>
        <w:right w:val="none" w:sz="0" w:space="0" w:color="auto"/>
      </w:divBdr>
    </w:div>
    <w:div w:id="1490513713">
      <w:bodyDiv w:val="1"/>
      <w:marLeft w:val="0"/>
      <w:marRight w:val="0"/>
      <w:marTop w:val="0"/>
      <w:marBottom w:val="0"/>
      <w:divBdr>
        <w:top w:val="none" w:sz="0" w:space="0" w:color="auto"/>
        <w:left w:val="none" w:sz="0" w:space="0" w:color="auto"/>
        <w:bottom w:val="none" w:sz="0" w:space="0" w:color="auto"/>
        <w:right w:val="none" w:sz="0" w:space="0" w:color="auto"/>
      </w:divBdr>
    </w:div>
    <w:div w:id="1493179158">
      <w:bodyDiv w:val="1"/>
      <w:marLeft w:val="0"/>
      <w:marRight w:val="0"/>
      <w:marTop w:val="0"/>
      <w:marBottom w:val="0"/>
      <w:divBdr>
        <w:top w:val="none" w:sz="0" w:space="0" w:color="auto"/>
        <w:left w:val="none" w:sz="0" w:space="0" w:color="auto"/>
        <w:bottom w:val="none" w:sz="0" w:space="0" w:color="auto"/>
        <w:right w:val="none" w:sz="0" w:space="0" w:color="auto"/>
      </w:divBdr>
    </w:div>
    <w:div w:id="1497840609">
      <w:bodyDiv w:val="1"/>
      <w:marLeft w:val="0"/>
      <w:marRight w:val="0"/>
      <w:marTop w:val="0"/>
      <w:marBottom w:val="0"/>
      <w:divBdr>
        <w:top w:val="none" w:sz="0" w:space="0" w:color="auto"/>
        <w:left w:val="none" w:sz="0" w:space="0" w:color="auto"/>
        <w:bottom w:val="none" w:sz="0" w:space="0" w:color="auto"/>
        <w:right w:val="none" w:sz="0" w:space="0" w:color="auto"/>
      </w:divBdr>
    </w:div>
    <w:div w:id="1502308373">
      <w:bodyDiv w:val="1"/>
      <w:marLeft w:val="0"/>
      <w:marRight w:val="0"/>
      <w:marTop w:val="0"/>
      <w:marBottom w:val="0"/>
      <w:divBdr>
        <w:top w:val="none" w:sz="0" w:space="0" w:color="auto"/>
        <w:left w:val="none" w:sz="0" w:space="0" w:color="auto"/>
        <w:bottom w:val="none" w:sz="0" w:space="0" w:color="auto"/>
        <w:right w:val="none" w:sz="0" w:space="0" w:color="auto"/>
      </w:divBdr>
    </w:div>
    <w:div w:id="1535772760">
      <w:bodyDiv w:val="1"/>
      <w:marLeft w:val="0"/>
      <w:marRight w:val="0"/>
      <w:marTop w:val="0"/>
      <w:marBottom w:val="0"/>
      <w:divBdr>
        <w:top w:val="none" w:sz="0" w:space="0" w:color="auto"/>
        <w:left w:val="none" w:sz="0" w:space="0" w:color="auto"/>
        <w:bottom w:val="none" w:sz="0" w:space="0" w:color="auto"/>
        <w:right w:val="none" w:sz="0" w:space="0" w:color="auto"/>
      </w:divBdr>
    </w:div>
    <w:div w:id="1552309228">
      <w:bodyDiv w:val="1"/>
      <w:marLeft w:val="0"/>
      <w:marRight w:val="0"/>
      <w:marTop w:val="0"/>
      <w:marBottom w:val="0"/>
      <w:divBdr>
        <w:top w:val="none" w:sz="0" w:space="0" w:color="auto"/>
        <w:left w:val="none" w:sz="0" w:space="0" w:color="auto"/>
        <w:bottom w:val="none" w:sz="0" w:space="0" w:color="auto"/>
        <w:right w:val="none" w:sz="0" w:space="0" w:color="auto"/>
      </w:divBdr>
    </w:div>
    <w:div w:id="1559315203">
      <w:bodyDiv w:val="1"/>
      <w:marLeft w:val="0"/>
      <w:marRight w:val="0"/>
      <w:marTop w:val="0"/>
      <w:marBottom w:val="0"/>
      <w:divBdr>
        <w:top w:val="none" w:sz="0" w:space="0" w:color="auto"/>
        <w:left w:val="none" w:sz="0" w:space="0" w:color="auto"/>
        <w:bottom w:val="none" w:sz="0" w:space="0" w:color="auto"/>
        <w:right w:val="none" w:sz="0" w:space="0" w:color="auto"/>
      </w:divBdr>
    </w:div>
    <w:div w:id="1596594692">
      <w:bodyDiv w:val="1"/>
      <w:marLeft w:val="0"/>
      <w:marRight w:val="0"/>
      <w:marTop w:val="0"/>
      <w:marBottom w:val="0"/>
      <w:divBdr>
        <w:top w:val="none" w:sz="0" w:space="0" w:color="auto"/>
        <w:left w:val="none" w:sz="0" w:space="0" w:color="auto"/>
        <w:bottom w:val="none" w:sz="0" w:space="0" w:color="auto"/>
        <w:right w:val="none" w:sz="0" w:space="0" w:color="auto"/>
      </w:divBdr>
    </w:div>
    <w:div w:id="1642808812">
      <w:bodyDiv w:val="1"/>
      <w:marLeft w:val="0"/>
      <w:marRight w:val="0"/>
      <w:marTop w:val="0"/>
      <w:marBottom w:val="0"/>
      <w:divBdr>
        <w:top w:val="none" w:sz="0" w:space="0" w:color="auto"/>
        <w:left w:val="none" w:sz="0" w:space="0" w:color="auto"/>
        <w:bottom w:val="none" w:sz="0" w:space="0" w:color="auto"/>
        <w:right w:val="none" w:sz="0" w:space="0" w:color="auto"/>
      </w:divBdr>
    </w:div>
    <w:div w:id="1659115970">
      <w:bodyDiv w:val="1"/>
      <w:marLeft w:val="0"/>
      <w:marRight w:val="0"/>
      <w:marTop w:val="0"/>
      <w:marBottom w:val="0"/>
      <w:divBdr>
        <w:top w:val="none" w:sz="0" w:space="0" w:color="auto"/>
        <w:left w:val="none" w:sz="0" w:space="0" w:color="auto"/>
        <w:bottom w:val="none" w:sz="0" w:space="0" w:color="auto"/>
        <w:right w:val="none" w:sz="0" w:space="0" w:color="auto"/>
      </w:divBdr>
    </w:div>
    <w:div w:id="1700428110">
      <w:bodyDiv w:val="1"/>
      <w:marLeft w:val="0"/>
      <w:marRight w:val="0"/>
      <w:marTop w:val="0"/>
      <w:marBottom w:val="0"/>
      <w:divBdr>
        <w:top w:val="none" w:sz="0" w:space="0" w:color="auto"/>
        <w:left w:val="none" w:sz="0" w:space="0" w:color="auto"/>
        <w:bottom w:val="none" w:sz="0" w:space="0" w:color="auto"/>
        <w:right w:val="none" w:sz="0" w:space="0" w:color="auto"/>
      </w:divBdr>
    </w:div>
    <w:div w:id="1721056706">
      <w:bodyDiv w:val="1"/>
      <w:marLeft w:val="0"/>
      <w:marRight w:val="0"/>
      <w:marTop w:val="0"/>
      <w:marBottom w:val="0"/>
      <w:divBdr>
        <w:top w:val="none" w:sz="0" w:space="0" w:color="auto"/>
        <w:left w:val="none" w:sz="0" w:space="0" w:color="auto"/>
        <w:bottom w:val="none" w:sz="0" w:space="0" w:color="auto"/>
        <w:right w:val="none" w:sz="0" w:space="0" w:color="auto"/>
      </w:divBdr>
    </w:div>
    <w:div w:id="1727610326">
      <w:bodyDiv w:val="1"/>
      <w:marLeft w:val="0"/>
      <w:marRight w:val="0"/>
      <w:marTop w:val="0"/>
      <w:marBottom w:val="0"/>
      <w:divBdr>
        <w:top w:val="none" w:sz="0" w:space="0" w:color="auto"/>
        <w:left w:val="none" w:sz="0" w:space="0" w:color="auto"/>
        <w:bottom w:val="none" w:sz="0" w:space="0" w:color="auto"/>
        <w:right w:val="none" w:sz="0" w:space="0" w:color="auto"/>
      </w:divBdr>
    </w:div>
    <w:div w:id="1728213928">
      <w:bodyDiv w:val="1"/>
      <w:marLeft w:val="0"/>
      <w:marRight w:val="0"/>
      <w:marTop w:val="0"/>
      <w:marBottom w:val="0"/>
      <w:divBdr>
        <w:top w:val="none" w:sz="0" w:space="0" w:color="auto"/>
        <w:left w:val="none" w:sz="0" w:space="0" w:color="auto"/>
        <w:bottom w:val="none" w:sz="0" w:space="0" w:color="auto"/>
        <w:right w:val="none" w:sz="0" w:space="0" w:color="auto"/>
      </w:divBdr>
    </w:div>
    <w:div w:id="1730417811">
      <w:bodyDiv w:val="1"/>
      <w:marLeft w:val="0"/>
      <w:marRight w:val="0"/>
      <w:marTop w:val="0"/>
      <w:marBottom w:val="0"/>
      <w:divBdr>
        <w:top w:val="none" w:sz="0" w:space="0" w:color="auto"/>
        <w:left w:val="none" w:sz="0" w:space="0" w:color="auto"/>
        <w:bottom w:val="none" w:sz="0" w:space="0" w:color="auto"/>
        <w:right w:val="none" w:sz="0" w:space="0" w:color="auto"/>
      </w:divBdr>
    </w:div>
    <w:div w:id="1763455154">
      <w:bodyDiv w:val="1"/>
      <w:marLeft w:val="0"/>
      <w:marRight w:val="0"/>
      <w:marTop w:val="0"/>
      <w:marBottom w:val="0"/>
      <w:divBdr>
        <w:top w:val="none" w:sz="0" w:space="0" w:color="auto"/>
        <w:left w:val="none" w:sz="0" w:space="0" w:color="auto"/>
        <w:bottom w:val="none" w:sz="0" w:space="0" w:color="auto"/>
        <w:right w:val="none" w:sz="0" w:space="0" w:color="auto"/>
      </w:divBdr>
    </w:div>
    <w:div w:id="1779711976">
      <w:bodyDiv w:val="1"/>
      <w:marLeft w:val="0"/>
      <w:marRight w:val="0"/>
      <w:marTop w:val="0"/>
      <w:marBottom w:val="0"/>
      <w:divBdr>
        <w:top w:val="none" w:sz="0" w:space="0" w:color="auto"/>
        <w:left w:val="none" w:sz="0" w:space="0" w:color="auto"/>
        <w:bottom w:val="none" w:sz="0" w:space="0" w:color="auto"/>
        <w:right w:val="none" w:sz="0" w:space="0" w:color="auto"/>
      </w:divBdr>
    </w:div>
    <w:div w:id="1806774952">
      <w:bodyDiv w:val="1"/>
      <w:marLeft w:val="0"/>
      <w:marRight w:val="0"/>
      <w:marTop w:val="0"/>
      <w:marBottom w:val="0"/>
      <w:divBdr>
        <w:top w:val="none" w:sz="0" w:space="0" w:color="auto"/>
        <w:left w:val="none" w:sz="0" w:space="0" w:color="auto"/>
        <w:bottom w:val="none" w:sz="0" w:space="0" w:color="auto"/>
        <w:right w:val="none" w:sz="0" w:space="0" w:color="auto"/>
      </w:divBdr>
    </w:div>
    <w:div w:id="1840659979">
      <w:bodyDiv w:val="1"/>
      <w:marLeft w:val="0"/>
      <w:marRight w:val="0"/>
      <w:marTop w:val="0"/>
      <w:marBottom w:val="0"/>
      <w:divBdr>
        <w:top w:val="none" w:sz="0" w:space="0" w:color="auto"/>
        <w:left w:val="none" w:sz="0" w:space="0" w:color="auto"/>
        <w:bottom w:val="none" w:sz="0" w:space="0" w:color="auto"/>
        <w:right w:val="none" w:sz="0" w:space="0" w:color="auto"/>
      </w:divBdr>
    </w:div>
    <w:div w:id="1863274805">
      <w:bodyDiv w:val="1"/>
      <w:marLeft w:val="0"/>
      <w:marRight w:val="0"/>
      <w:marTop w:val="0"/>
      <w:marBottom w:val="0"/>
      <w:divBdr>
        <w:top w:val="none" w:sz="0" w:space="0" w:color="auto"/>
        <w:left w:val="none" w:sz="0" w:space="0" w:color="auto"/>
        <w:bottom w:val="none" w:sz="0" w:space="0" w:color="auto"/>
        <w:right w:val="none" w:sz="0" w:space="0" w:color="auto"/>
      </w:divBdr>
    </w:div>
    <w:div w:id="1879705535">
      <w:bodyDiv w:val="1"/>
      <w:marLeft w:val="0"/>
      <w:marRight w:val="0"/>
      <w:marTop w:val="0"/>
      <w:marBottom w:val="0"/>
      <w:divBdr>
        <w:top w:val="none" w:sz="0" w:space="0" w:color="auto"/>
        <w:left w:val="none" w:sz="0" w:space="0" w:color="auto"/>
        <w:bottom w:val="none" w:sz="0" w:space="0" w:color="auto"/>
        <w:right w:val="none" w:sz="0" w:space="0" w:color="auto"/>
      </w:divBdr>
    </w:div>
    <w:div w:id="1883708645">
      <w:bodyDiv w:val="1"/>
      <w:marLeft w:val="0"/>
      <w:marRight w:val="0"/>
      <w:marTop w:val="0"/>
      <w:marBottom w:val="0"/>
      <w:divBdr>
        <w:top w:val="none" w:sz="0" w:space="0" w:color="auto"/>
        <w:left w:val="none" w:sz="0" w:space="0" w:color="auto"/>
        <w:bottom w:val="none" w:sz="0" w:space="0" w:color="auto"/>
        <w:right w:val="none" w:sz="0" w:space="0" w:color="auto"/>
      </w:divBdr>
    </w:div>
    <w:div w:id="1898390850">
      <w:bodyDiv w:val="1"/>
      <w:marLeft w:val="0"/>
      <w:marRight w:val="0"/>
      <w:marTop w:val="0"/>
      <w:marBottom w:val="0"/>
      <w:divBdr>
        <w:top w:val="none" w:sz="0" w:space="0" w:color="auto"/>
        <w:left w:val="none" w:sz="0" w:space="0" w:color="auto"/>
        <w:bottom w:val="none" w:sz="0" w:space="0" w:color="auto"/>
        <w:right w:val="none" w:sz="0" w:space="0" w:color="auto"/>
      </w:divBdr>
    </w:div>
    <w:div w:id="1906992658">
      <w:bodyDiv w:val="1"/>
      <w:marLeft w:val="0"/>
      <w:marRight w:val="0"/>
      <w:marTop w:val="0"/>
      <w:marBottom w:val="0"/>
      <w:divBdr>
        <w:top w:val="none" w:sz="0" w:space="0" w:color="auto"/>
        <w:left w:val="none" w:sz="0" w:space="0" w:color="auto"/>
        <w:bottom w:val="none" w:sz="0" w:space="0" w:color="auto"/>
        <w:right w:val="none" w:sz="0" w:space="0" w:color="auto"/>
      </w:divBdr>
    </w:div>
    <w:div w:id="1936742520">
      <w:bodyDiv w:val="1"/>
      <w:marLeft w:val="0"/>
      <w:marRight w:val="0"/>
      <w:marTop w:val="0"/>
      <w:marBottom w:val="0"/>
      <w:divBdr>
        <w:top w:val="none" w:sz="0" w:space="0" w:color="auto"/>
        <w:left w:val="none" w:sz="0" w:space="0" w:color="auto"/>
        <w:bottom w:val="none" w:sz="0" w:space="0" w:color="auto"/>
        <w:right w:val="none" w:sz="0" w:space="0" w:color="auto"/>
      </w:divBdr>
    </w:div>
    <w:div w:id="1955476831">
      <w:bodyDiv w:val="1"/>
      <w:marLeft w:val="0"/>
      <w:marRight w:val="0"/>
      <w:marTop w:val="0"/>
      <w:marBottom w:val="0"/>
      <w:divBdr>
        <w:top w:val="none" w:sz="0" w:space="0" w:color="auto"/>
        <w:left w:val="none" w:sz="0" w:space="0" w:color="auto"/>
        <w:bottom w:val="none" w:sz="0" w:space="0" w:color="auto"/>
        <w:right w:val="none" w:sz="0" w:space="0" w:color="auto"/>
      </w:divBdr>
    </w:div>
    <w:div w:id="1989089987">
      <w:bodyDiv w:val="1"/>
      <w:marLeft w:val="0"/>
      <w:marRight w:val="0"/>
      <w:marTop w:val="0"/>
      <w:marBottom w:val="0"/>
      <w:divBdr>
        <w:top w:val="none" w:sz="0" w:space="0" w:color="auto"/>
        <w:left w:val="none" w:sz="0" w:space="0" w:color="auto"/>
        <w:bottom w:val="none" w:sz="0" w:space="0" w:color="auto"/>
        <w:right w:val="none" w:sz="0" w:space="0" w:color="auto"/>
      </w:divBdr>
    </w:div>
    <w:div w:id="1993678461">
      <w:bodyDiv w:val="1"/>
      <w:marLeft w:val="0"/>
      <w:marRight w:val="0"/>
      <w:marTop w:val="0"/>
      <w:marBottom w:val="0"/>
      <w:divBdr>
        <w:top w:val="none" w:sz="0" w:space="0" w:color="auto"/>
        <w:left w:val="none" w:sz="0" w:space="0" w:color="auto"/>
        <w:bottom w:val="none" w:sz="0" w:space="0" w:color="auto"/>
        <w:right w:val="none" w:sz="0" w:space="0" w:color="auto"/>
      </w:divBdr>
    </w:div>
    <w:div w:id="2033995861">
      <w:bodyDiv w:val="1"/>
      <w:marLeft w:val="0"/>
      <w:marRight w:val="0"/>
      <w:marTop w:val="0"/>
      <w:marBottom w:val="0"/>
      <w:divBdr>
        <w:top w:val="none" w:sz="0" w:space="0" w:color="auto"/>
        <w:left w:val="none" w:sz="0" w:space="0" w:color="auto"/>
        <w:bottom w:val="none" w:sz="0" w:space="0" w:color="auto"/>
        <w:right w:val="none" w:sz="0" w:space="0" w:color="auto"/>
      </w:divBdr>
    </w:div>
    <w:div w:id="2037731249">
      <w:bodyDiv w:val="1"/>
      <w:marLeft w:val="0"/>
      <w:marRight w:val="0"/>
      <w:marTop w:val="0"/>
      <w:marBottom w:val="0"/>
      <w:divBdr>
        <w:top w:val="none" w:sz="0" w:space="0" w:color="auto"/>
        <w:left w:val="none" w:sz="0" w:space="0" w:color="auto"/>
        <w:bottom w:val="none" w:sz="0" w:space="0" w:color="auto"/>
        <w:right w:val="none" w:sz="0" w:space="0" w:color="auto"/>
      </w:divBdr>
    </w:div>
    <w:div w:id="2038314076">
      <w:bodyDiv w:val="1"/>
      <w:marLeft w:val="0"/>
      <w:marRight w:val="0"/>
      <w:marTop w:val="0"/>
      <w:marBottom w:val="0"/>
      <w:divBdr>
        <w:top w:val="none" w:sz="0" w:space="0" w:color="auto"/>
        <w:left w:val="none" w:sz="0" w:space="0" w:color="auto"/>
        <w:bottom w:val="none" w:sz="0" w:space="0" w:color="auto"/>
        <w:right w:val="none" w:sz="0" w:space="0" w:color="auto"/>
      </w:divBdr>
    </w:div>
    <w:div w:id="210792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acajaarg-my.sharepoint.com/:f:/g/personal/canos_lacaja_com_ar/EnOkrMzXuWNBpS_i881fTk4BU_XgDalHH7voJyqamhr5JA?e=ND7tgF"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g"/><Relationship Id="rId5" Type="http://schemas.openxmlformats.org/officeDocument/2006/relationships/image" Target="media/image13.emf"/><Relationship Id="rId4" Type="http://schemas.openxmlformats.org/officeDocument/2006/relationships/image" Target="media/image12.png"/></Relationships>
</file>

<file path=word/theme/theme1.xml><?xml version="1.0" encoding="utf-8"?>
<a:theme xmlns:a="http://schemas.openxmlformats.org/drawingml/2006/main" name="Tema di Office">
  <a:themeElements>
    <a:clrScheme name="Generali 01">
      <a:dk1>
        <a:srgbClr val="141414"/>
      </a:dk1>
      <a:lt1>
        <a:srgbClr val="FFFFFF"/>
      </a:lt1>
      <a:dk2>
        <a:srgbClr val="752027"/>
      </a:dk2>
      <a:lt2>
        <a:srgbClr val="C8C8C8"/>
      </a:lt2>
      <a:accent1>
        <a:srgbClr val="C21B17"/>
      </a:accent1>
      <a:accent2>
        <a:srgbClr val="752027"/>
      </a:accent2>
      <a:accent3>
        <a:srgbClr val="8E1230"/>
      </a:accent3>
      <a:accent4>
        <a:srgbClr val="E9573C"/>
      </a:accent4>
      <a:accent5>
        <a:srgbClr val="F09273"/>
      </a:accent5>
      <a:accent6>
        <a:srgbClr val="C8C8C8"/>
      </a:accent6>
      <a:hlink>
        <a:srgbClr val="E9573C"/>
      </a:hlink>
      <a:folHlink>
        <a:srgbClr val="8E12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C6E943FE44B784783E6009255ABDDCF" ma:contentTypeVersion="18" ma:contentTypeDescription="Create a new document." ma:contentTypeScope="" ma:versionID="86e20a3635c048653e0824f67abcdaf3">
  <xsd:schema xmlns:xsd="http://www.w3.org/2001/XMLSchema" xmlns:xs="http://www.w3.org/2001/XMLSchema" xmlns:p="http://schemas.microsoft.com/office/2006/metadata/properties" xmlns:ns2="5065dd76-1e34-4f3d-9217-f9fd5ef9fa76" xmlns:ns3="840aed73-f58b-4900-847f-a47aa3e4a5f8" targetNamespace="http://schemas.microsoft.com/office/2006/metadata/properties" ma:root="true" ma:fieldsID="2ab38661315a573a4d12d3c0c7913dc2" ns2:_="" ns3:_="">
    <xsd:import namespace="5065dd76-1e34-4f3d-9217-f9fd5ef9fa76"/>
    <xsd:import namespace="840aed73-f58b-4900-847f-a47aa3e4a5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5dd76-1e34-4f3d-9217-f9fd5ef9f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cf75a9b-8bab-4e85-824e-08e78c5b74a5"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0aed73-f58b-4900-847f-a47aa3e4a5f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269a471-87c2-41a5-973a-c793616a60cd}" ma:internalName="TaxCatchAll" ma:showField="CatchAllData" ma:web="840aed73-f58b-4900-847f-a47aa3e4a5f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65dd76-1e34-4f3d-9217-f9fd5ef9fa76">
      <Terms xmlns="http://schemas.microsoft.com/office/infopath/2007/PartnerControls"/>
    </lcf76f155ced4ddcb4097134ff3c332f>
    <TaxCatchAll xmlns="840aed73-f58b-4900-847f-a47aa3e4a5f8" xsi:nil="true"/>
  </documentManagement>
</p:properties>
</file>

<file path=customXml/itemProps1.xml><?xml version="1.0" encoding="utf-8"?>
<ds:datastoreItem xmlns:ds="http://schemas.openxmlformats.org/officeDocument/2006/customXml" ds:itemID="{D4F3FAAC-2F30-44A9-9BDC-49619E9C806F}">
  <ds:schemaRefs>
    <ds:schemaRef ds:uri="http://schemas.microsoft.com/sharepoint/v3/contenttype/forms"/>
  </ds:schemaRefs>
</ds:datastoreItem>
</file>

<file path=customXml/itemProps2.xml><?xml version="1.0" encoding="utf-8"?>
<ds:datastoreItem xmlns:ds="http://schemas.openxmlformats.org/officeDocument/2006/customXml" ds:itemID="{07ABDDE5-442A-43CC-B9FF-6DD28E3A734E}">
  <ds:schemaRefs>
    <ds:schemaRef ds:uri="http://schemas.openxmlformats.org/officeDocument/2006/bibliography"/>
  </ds:schemaRefs>
</ds:datastoreItem>
</file>

<file path=customXml/itemProps3.xml><?xml version="1.0" encoding="utf-8"?>
<ds:datastoreItem xmlns:ds="http://schemas.openxmlformats.org/officeDocument/2006/customXml" ds:itemID="{B57856D7-3D25-4BBA-8046-A1EC39313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5dd76-1e34-4f3d-9217-f9fd5ef9fa76"/>
    <ds:schemaRef ds:uri="840aed73-f58b-4900-847f-a47aa3e4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A7F339-275E-423B-B1D5-A94585CA3625}">
  <ds:schemaRefs>
    <ds:schemaRef ds:uri="http://schemas.microsoft.com/office/2006/metadata/properties"/>
    <ds:schemaRef ds:uri="http://schemas.microsoft.com/office/infopath/2007/PartnerControls"/>
    <ds:schemaRef ds:uri="5065dd76-1e34-4f3d-9217-f9fd5ef9fa76"/>
    <ds:schemaRef ds:uri="840aed73-f58b-4900-847f-a47aa3e4a5f8"/>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12</Pages>
  <Words>4251</Words>
  <Characters>23382</Characters>
  <Application>Microsoft Office Word</Application>
  <DocSecurity>0</DocSecurity>
  <Lines>194</Lines>
  <Paragraphs>55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27578</CharactersWithSpaces>
  <SharedDoc>false</SharedDoc>
  <HLinks>
    <vt:vector size="24" baseType="variant">
      <vt:variant>
        <vt:i4>5374038</vt:i4>
      </vt:variant>
      <vt:variant>
        <vt:i4>12</vt:i4>
      </vt:variant>
      <vt:variant>
        <vt:i4>0</vt:i4>
      </vt:variant>
      <vt:variant>
        <vt:i4>5</vt:i4>
      </vt:variant>
      <vt:variant>
        <vt:lpwstr>http://www.generali.com/</vt:lpwstr>
      </vt:variant>
      <vt:variant>
        <vt:lpwstr/>
      </vt:variant>
      <vt:variant>
        <vt:i4>6029421</vt:i4>
      </vt:variant>
      <vt:variant>
        <vt:i4>9</vt:i4>
      </vt:variant>
      <vt:variant>
        <vt:i4>0</vt:i4>
      </vt:variant>
      <vt:variant>
        <vt:i4>5</vt:i4>
      </vt:variant>
      <vt:variant>
        <vt:lpwstr>mailto:media@generali.com</vt:lpwstr>
      </vt:variant>
      <vt:variant>
        <vt:lpwstr/>
      </vt:variant>
      <vt:variant>
        <vt:i4>5046382</vt:i4>
      </vt:variant>
      <vt:variant>
        <vt:i4>6</vt:i4>
      </vt:variant>
      <vt:variant>
        <vt:i4>0</vt:i4>
      </vt:variant>
      <vt:variant>
        <vt:i4>5</vt:i4>
      </vt:variant>
      <vt:variant>
        <vt:lpwstr>mailto:ir@generali.com</vt:lpwstr>
      </vt:variant>
      <vt:variant>
        <vt:lpwstr/>
      </vt:variant>
      <vt:variant>
        <vt:i4>5374038</vt:i4>
      </vt:variant>
      <vt:variant>
        <vt:i4>3</vt:i4>
      </vt:variant>
      <vt:variant>
        <vt:i4>0</vt:i4>
      </vt:variant>
      <vt:variant>
        <vt:i4>5</vt:i4>
      </vt:variant>
      <vt:variant>
        <vt:lpwstr>http://www.generali.com/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Ladds</dc:creator>
  <cp:keywords/>
  <cp:lastModifiedBy>CANO Santiago Alberto</cp:lastModifiedBy>
  <cp:revision>207</cp:revision>
  <cp:lastPrinted>2025-01-28T17:40:00Z</cp:lastPrinted>
  <dcterms:created xsi:type="dcterms:W3CDTF">2025-01-30T05:23:00Z</dcterms:created>
  <dcterms:modified xsi:type="dcterms:W3CDTF">2025-03-13T18:38:00Z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0x0101003C6E943FE44B784783E6009255ABDDCF</vt:lpwstr>
  </property>
  <property fmtid="{D5CDD505-2E9C-101B-9397-08002B2CF9AE}" pid="4" name="MSIP_Label_24959093-f88e-4ada-8871-77e24f68c4ec_Enabled">
    <vt:lpwstr>true</vt:lpwstr>
  </property>
  <property fmtid="{D5CDD505-2E9C-101B-9397-08002B2CF9AE}" pid="5" name="MSIP_Label_24959093-f88e-4ada-8871-77e24f68c4ec_SetDate">
    <vt:lpwstr>2025-01-22T08:28:44Z</vt:lpwstr>
  </property>
  <property fmtid="{D5CDD505-2E9C-101B-9397-08002B2CF9AE}" pid="6" name="MSIP_Label_24959093-f88e-4ada-8871-77e24f68c4ec_Method">
    <vt:lpwstr>Privileged</vt:lpwstr>
  </property>
  <property fmtid="{D5CDD505-2E9C-101B-9397-08002B2CF9AE}" pid="7" name="MSIP_Label_24959093-f88e-4ada-8871-77e24f68c4ec_Name">
    <vt:lpwstr>24959093-f88e-4ada-8871-77e24f68c4ec</vt:lpwstr>
  </property>
  <property fmtid="{D5CDD505-2E9C-101B-9397-08002B2CF9AE}" pid="8" name="MSIP_Label_24959093-f88e-4ada-8871-77e24f68c4ec_SiteId">
    <vt:lpwstr>cbeb3ecc-6f45-4183-b5a8-088140deae5d</vt:lpwstr>
  </property>
  <property fmtid="{D5CDD505-2E9C-101B-9397-08002B2CF9AE}" pid="9" name="MSIP_Label_24959093-f88e-4ada-8871-77e24f68c4ec_ActionId">
    <vt:lpwstr>b2ebd19e-9ad2-4ced-b610-190083f9607c</vt:lpwstr>
  </property>
  <property fmtid="{D5CDD505-2E9C-101B-9397-08002B2CF9AE}" pid="10" name="MSIP_Label_24959093-f88e-4ada-8871-77e24f68c4ec_ContentBits">
    <vt:lpwstr>0</vt:lpwstr>
  </property>
</Properties>
</file>